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района за</w:t>
      </w:r>
      <w:r w:rsidR="009053F0">
        <w:rPr>
          <w:b/>
          <w:sz w:val="28"/>
          <w:szCs w:val="28"/>
        </w:rPr>
        <w:t xml:space="preserve"> январь – март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9053F0">
        <w:rPr>
          <w:b/>
          <w:sz w:val="28"/>
          <w:szCs w:val="28"/>
        </w:rPr>
        <w:t>2</w:t>
      </w:r>
      <w:r w:rsidR="00D31AD5">
        <w:rPr>
          <w:b/>
          <w:sz w:val="28"/>
          <w:szCs w:val="28"/>
        </w:rPr>
        <w:t xml:space="preserve"> год</w:t>
      </w:r>
      <w:r w:rsidR="009053F0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704DF8">
        <w:rPr>
          <w:rFonts w:eastAsia="Calibri"/>
          <w:color w:val="000000"/>
          <w:sz w:val="28"/>
          <w:szCs w:val="28"/>
        </w:rPr>
        <w:t>исленность</w:t>
      </w:r>
      <w:r w:rsidR="00A0602D" w:rsidRPr="00D45BE2">
        <w:rPr>
          <w:rFonts w:eastAsia="Calibri"/>
          <w:color w:val="000000"/>
          <w:sz w:val="28"/>
          <w:szCs w:val="28"/>
        </w:rPr>
        <w:t xml:space="preserve"> постоянного населения Холмогорского муниципального района </w:t>
      </w:r>
      <w:r w:rsidR="00B30FBC" w:rsidRPr="00D45BE2">
        <w:rPr>
          <w:rFonts w:eastAsia="Calibri"/>
          <w:color w:val="000000"/>
          <w:sz w:val="28"/>
          <w:szCs w:val="28"/>
        </w:rPr>
        <w:t xml:space="preserve">на </w:t>
      </w:r>
      <w:r>
        <w:rPr>
          <w:rFonts w:eastAsia="Calibri"/>
          <w:color w:val="000000"/>
          <w:sz w:val="28"/>
          <w:szCs w:val="28"/>
        </w:rPr>
        <w:t xml:space="preserve">1 </w:t>
      </w:r>
      <w:r w:rsidR="00F42D85">
        <w:rPr>
          <w:rFonts w:eastAsia="Calibri"/>
          <w:color w:val="000000"/>
          <w:sz w:val="28"/>
          <w:szCs w:val="28"/>
        </w:rPr>
        <w:t>марта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30FBC" w:rsidRPr="00D45BE2">
        <w:rPr>
          <w:rFonts w:eastAsia="Calibri"/>
          <w:color w:val="000000"/>
          <w:sz w:val="28"/>
          <w:szCs w:val="28"/>
        </w:rPr>
        <w:t>20</w:t>
      </w:r>
      <w:r w:rsidR="00F05672" w:rsidRPr="00D45BE2">
        <w:rPr>
          <w:rFonts w:eastAsia="Calibri"/>
          <w:color w:val="000000"/>
          <w:sz w:val="28"/>
          <w:szCs w:val="28"/>
        </w:rPr>
        <w:t>2</w:t>
      </w:r>
      <w:r w:rsidR="005C4574">
        <w:rPr>
          <w:rFonts w:eastAsia="Calibri"/>
          <w:color w:val="000000"/>
          <w:sz w:val="28"/>
          <w:szCs w:val="28"/>
        </w:rPr>
        <w:t>2</w:t>
      </w:r>
      <w:r w:rsidR="00B30FBC" w:rsidRPr="00D45BE2">
        <w:rPr>
          <w:rFonts w:eastAsia="Calibri"/>
          <w:color w:val="000000"/>
          <w:sz w:val="28"/>
          <w:szCs w:val="28"/>
        </w:rPr>
        <w:t xml:space="preserve"> </w:t>
      </w:r>
      <w:r w:rsidR="00A0602D" w:rsidRPr="00D45BE2">
        <w:rPr>
          <w:rFonts w:eastAsia="Calibri"/>
          <w:color w:val="000000"/>
          <w:sz w:val="28"/>
          <w:szCs w:val="28"/>
        </w:rPr>
        <w:t>год</w:t>
      </w:r>
      <w:r w:rsidR="00B30FBC" w:rsidRPr="00D45BE2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составила </w:t>
      </w:r>
      <w:r>
        <w:rPr>
          <w:rFonts w:eastAsia="Calibri"/>
          <w:color w:val="000000"/>
          <w:sz w:val="28"/>
          <w:szCs w:val="28"/>
        </w:rPr>
        <w:t>17</w:t>
      </w:r>
      <w:r w:rsidR="00F42D85">
        <w:rPr>
          <w:rFonts w:eastAsia="Calibri"/>
          <w:color w:val="000000"/>
          <w:sz w:val="28"/>
          <w:szCs w:val="28"/>
        </w:rPr>
        <w:t>673</w:t>
      </w:r>
      <w:r w:rsidR="00A0602D" w:rsidRPr="00D45BE2">
        <w:rPr>
          <w:rFonts w:eastAsia="Calibri"/>
          <w:color w:val="000000"/>
          <w:sz w:val="28"/>
          <w:szCs w:val="28"/>
        </w:rPr>
        <w:t xml:space="preserve"> человек</w:t>
      </w:r>
      <w:r w:rsidR="00F42D85"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>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района сократилось на </w:t>
      </w:r>
      <w:r w:rsidR="009053F0">
        <w:rPr>
          <w:rFonts w:eastAsia="Calibri"/>
          <w:color w:val="000000"/>
          <w:sz w:val="28"/>
          <w:szCs w:val="28"/>
        </w:rPr>
        <w:t>70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52). Родилось – 16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9053F0">
        <w:rPr>
          <w:rFonts w:eastAsia="Calibri"/>
          <w:color w:val="000000"/>
          <w:sz w:val="28"/>
          <w:szCs w:val="28"/>
        </w:rPr>
        <w:t>28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9053F0">
        <w:rPr>
          <w:rFonts w:eastAsia="Calibri"/>
          <w:color w:val="000000"/>
          <w:sz w:val="28"/>
          <w:szCs w:val="28"/>
        </w:rPr>
        <w:t>86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9053F0">
        <w:rPr>
          <w:rFonts w:eastAsia="Calibri"/>
          <w:color w:val="000000"/>
          <w:sz w:val="28"/>
          <w:szCs w:val="28"/>
        </w:rPr>
        <w:t>80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9053F0">
        <w:rPr>
          <w:rFonts w:eastAsia="Calibri"/>
          <w:color w:val="000000"/>
          <w:sz w:val="28"/>
          <w:szCs w:val="28"/>
        </w:rPr>
        <w:t>февраль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9053F0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9053F0">
        <w:rPr>
          <w:rFonts w:eastAsia="Calibri"/>
          <w:color w:val="000000"/>
          <w:sz w:val="28"/>
          <w:szCs w:val="28"/>
        </w:rPr>
        <w:t>45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9053F0">
        <w:rPr>
          <w:rFonts w:eastAsia="Calibri"/>
          <w:color w:val="000000"/>
          <w:sz w:val="28"/>
          <w:szCs w:val="28"/>
        </w:rPr>
        <w:t xml:space="preserve">февраль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9053F0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9053F0">
        <w:rPr>
          <w:rFonts w:eastAsia="Calibri"/>
          <w:color w:val="000000"/>
          <w:sz w:val="28"/>
          <w:szCs w:val="28"/>
        </w:rPr>
        <w:t>32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B91DE2">
        <w:rPr>
          <w:rFonts w:eastAsia="Calibri"/>
          <w:color w:val="000000"/>
          <w:sz w:val="28"/>
          <w:szCs w:val="28"/>
        </w:rPr>
        <w:t>29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B91DE2">
        <w:rPr>
          <w:rFonts w:eastAsia="Calibri"/>
          <w:color w:val="000000"/>
          <w:sz w:val="28"/>
          <w:szCs w:val="28"/>
        </w:rPr>
        <w:t>52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B91DE2">
        <w:rPr>
          <w:rFonts w:eastAsia="Calibri"/>
          <w:color w:val="000000"/>
          <w:sz w:val="28"/>
          <w:szCs w:val="28"/>
        </w:rPr>
        <w:t>74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B91DE2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(202</w:t>
      </w:r>
      <w:r w:rsidR="00B91DE2">
        <w:rPr>
          <w:rFonts w:eastAsia="Calibri"/>
          <w:color w:val="000000"/>
          <w:sz w:val="28"/>
          <w:szCs w:val="28"/>
        </w:rPr>
        <w:t>1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B91DE2">
        <w:rPr>
          <w:rFonts w:eastAsia="Calibri"/>
          <w:color w:val="000000"/>
          <w:sz w:val="28"/>
          <w:szCs w:val="28"/>
        </w:rPr>
        <w:t>84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B91DE2">
        <w:rPr>
          <w:sz w:val="28"/>
          <w:szCs w:val="28"/>
        </w:rPr>
        <w:t>апреля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B72038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района составило </w:t>
      </w:r>
      <w:r w:rsidR="00B72038">
        <w:rPr>
          <w:sz w:val="28"/>
          <w:szCs w:val="28"/>
        </w:rPr>
        <w:t>19</w:t>
      </w:r>
      <w:r w:rsidR="00B91DE2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единиц.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603006" w:rsidRPr="00D45BE2">
        <w:rPr>
          <w:sz w:val="28"/>
          <w:szCs w:val="28"/>
        </w:rPr>
        <w:t>2</w:t>
      </w:r>
      <w:r w:rsidR="00271376" w:rsidRPr="00D45BE2">
        <w:rPr>
          <w:sz w:val="28"/>
          <w:szCs w:val="28"/>
        </w:rPr>
        <w:t>,</w:t>
      </w:r>
      <w:r w:rsidR="00B91DE2">
        <w:rPr>
          <w:sz w:val="28"/>
          <w:szCs w:val="28"/>
        </w:rPr>
        <w:t>8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1</w:t>
      </w:r>
      <w:r w:rsidR="00603006" w:rsidRPr="00D45BE2">
        <w:rPr>
          <w:sz w:val="28"/>
          <w:szCs w:val="28"/>
        </w:rPr>
        <w:t>9</w:t>
      </w:r>
      <w:r w:rsidR="003777B5" w:rsidRPr="00D45BE2">
        <w:rPr>
          <w:sz w:val="28"/>
          <w:szCs w:val="28"/>
        </w:rPr>
        <w:t>,</w:t>
      </w:r>
      <w:r w:rsidR="00B91DE2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696BBB">
        <w:rPr>
          <w:sz w:val="28"/>
          <w:szCs w:val="28"/>
        </w:rPr>
        <w:t>1</w:t>
      </w:r>
      <w:r w:rsidRPr="00D45BE2">
        <w:rPr>
          <w:sz w:val="28"/>
          <w:szCs w:val="28"/>
        </w:rPr>
        <w:t>,</w:t>
      </w:r>
      <w:r w:rsidR="00B91DE2">
        <w:rPr>
          <w:sz w:val="28"/>
          <w:szCs w:val="28"/>
        </w:rPr>
        <w:t>2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5</w:t>
      </w:r>
      <w:r w:rsidRPr="0057023E">
        <w:rPr>
          <w:sz w:val="28"/>
          <w:szCs w:val="28"/>
        </w:rPr>
        <w:t>,</w:t>
      </w:r>
      <w:r w:rsidR="009C3060">
        <w:rPr>
          <w:sz w:val="28"/>
          <w:szCs w:val="28"/>
        </w:rPr>
        <w:t>7</w:t>
      </w:r>
      <w:r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D45BE2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13,</w:t>
      </w:r>
      <w:r w:rsidR="009C3060">
        <w:rPr>
          <w:sz w:val="28"/>
          <w:szCs w:val="28"/>
        </w:rPr>
        <w:t>2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777B5" w:rsidP="003777B5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763403" w:rsidRPr="0057023E">
        <w:rPr>
          <w:sz w:val="28"/>
          <w:szCs w:val="28"/>
        </w:rPr>
        <w:t>2</w:t>
      </w:r>
      <w:r w:rsidRPr="0057023E">
        <w:rPr>
          <w:sz w:val="28"/>
          <w:szCs w:val="28"/>
        </w:rPr>
        <w:t>,</w:t>
      </w:r>
      <w:r w:rsidR="009C3060">
        <w:rPr>
          <w:sz w:val="28"/>
          <w:szCs w:val="28"/>
        </w:rPr>
        <w:t>7</w:t>
      </w:r>
      <w:r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Pr="0057023E">
        <w:rPr>
          <w:sz w:val="28"/>
          <w:szCs w:val="28"/>
        </w:rPr>
        <w:t>;</w:t>
      </w:r>
    </w:p>
    <w:p w:rsidR="00755413" w:rsidRDefault="003777B5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1</w:t>
      </w:r>
      <w:r w:rsidR="009C3060">
        <w:rPr>
          <w:sz w:val="28"/>
          <w:szCs w:val="28"/>
        </w:rPr>
        <w:t>1</w:t>
      </w:r>
      <w:r w:rsidRPr="0057023E">
        <w:rPr>
          <w:sz w:val="28"/>
          <w:szCs w:val="28"/>
        </w:rPr>
        <w:t>,</w:t>
      </w:r>
      <w:r w:rsidR="009C3060">
        <w:rPr>
          <w:sz w:val="28"/>
          <w:szCs w:val="28"/>
        </w:rPr>
        <w:t>7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Pr="0057023E">
        <w:rPr>
          <w:sz w:val="28"/>
          <w:szCs w:val="28"/>
        </w:rPr>
        <w:t>.</w:t>
      </w: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9C3060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  <w:sz w:val="28"/>
          <w:szCs w:val="28"/>
        </w:rPr>
        <w:drawing>
          <wp:inline distT="0" distB="0" distL="0" distR="0" wp14:anchorId="6DD738C4">
            <wp:extent cx="5741773" cy="33751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94" cy="338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35155C" w:rsidRDefault="0035155C" w:rsidP="00AD3C22">
      <w:pPr>
        <w:jc w:val="center"/>
        <w:rPr>
          <w:b/>
          <w:caps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5"/>
        <w:gridCol w:w="1276"/>
      </w:tblGrid>
      <w:tr w:rsidR="00271376" w:rsidRPr="009552F9" w:rsidTr="00271376">
        <w:trPr>
          <w:cantSplit/>
          <w:trHeight w:val="276"/>
        </w:trPr>
        <w:tc>
          <w:tcPr>
            <w:tcW w:w="680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60" w:rsidRPr="009C3060" w:rsidRDefault="009C3060" w:rsidP="009C3060">
            <w:pPr>
              <w:tabs>
                <w:tab w:val="left" w:pos="-108"/>
                <w:tab w:val="left" w:pos="34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Январь-</w:t>
            </w:r>
          </w:p>
          <w:p w:rsidR="009C3060" w:rsidRPr="009C3060" w:rsidRDefault="009C3060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 xml:space="preserve">март </w:t>
            </w:r>
          </w:p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D45BE2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2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9C3060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В % к</w:t>
            </w:r>
          </w:p>
          <w:p w:rsidR="009C3060" w:rsidRPr="009C3060" w:rsidRDefault="009C3060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январю-</w:t>
            </w:r>
          </w:p>
          <w:p w:rsidR="009C3060" w:rsidRPr="009C3060" w:rsidRDefault="009C3060" w:rsidP="005A0E01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 xml:space="preserve">марту </w:t>
            </w:r>
          </w:p>
          <w:p w:rsidR="00271376" w:rsidRPr="009C3060" w:rsidRDefault="00271376" w:rsidP="009C3060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9C3060">
              <w:rPr>
                <w:color w:val="000000"/>
                <w:sz w:val="22"/>
                <w:szCs w:val="22"/>
              </w:rPr>
              <w:t>20</w:t>
            </w:r>
            <w:r w:rsidR="005A0E01" w:rsidRPr="009C3060">
              <w:rPr>
                <w:color w:val="000000"/>
                <w:sz w:val="22"/>
                <w:szCs w:val="22"/>
              </w:rPr>
              <w:t>2</w:t>
            </w:r>
            <w:r w:rsidR="009C3060" w:rsidRPr="009C3060">
              <w:rPr>
                <w:color w:val="000000"/>
                <w:sz w:val="22"/>
                <w:szCs w:val="22"/>
              </w:rPr>
              <w:t>1</w:t>
            </w:r>
            <w:r w:rsidRPr="009C3060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9C3060">
        <w:trPr>
          <w:cantSplit/>
          <w:trHeight w:val="1000"/>
        </w:trPr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3,1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21611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76,1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9552F9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9552F9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99,0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…</w:t>
            </w:r>
            <w:r w:rsidRPr="006D0449">
              <w:rPr>
                <w:rStyle w:val="a8"/>
                <w:rFonts w:ascii="Times New Roman" w:hAnsi="Times New Roman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в 2,5р.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89,8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в 2,5р.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88,1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>
              <w:rPr>
                <w:sz w:val="24"/>
                <w:szCs w:val="24"/>
                <w:vertAlign w:val="superscript"/>
              </w:rPr>
              <w:t>2)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6D0449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5A0E01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в 3,7р.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розничной торговли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349013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Оборот общественного питания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123,8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Объем платных услуг населению </w:t>
            </w:r>
            <w:r w:rsidRPr="00BA4A5B">
              <w:rPr>
                <w:spacing w:val="-3"/>
                <w:sz w:val="24"/>
                <w:szCs w:val="24"/>
              </w:rPr>
              <w:t>организаций</w:t>
            </w:r>
            <w:r w:rsidR="001E4878">
              <w:rPr>
                <w:spacing w:val="-3"/>
                <w:sz w:val="24"/>
                <w:szCs w:val="24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BA4A5B">
              <w:rPr>
                <w:sz w:val="24"/>
                <w:szCs w:val="24"/>
                <w:vertAlign w:val="superscript"/>
              </w:rPr>
              <w:t>)</w:t>
            </w:r>
            <w:r w:rsidRPr="00BA4A5B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</w:tr>
      <w:tr w:rsidR="00271376" w:rsidRPr="009552F9" w:rsidTr="0019181A">
        <w:trPr>
          <w:cantSplit/>
          <w:trHeight w:val="6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6D0449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321E8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108,1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BA4A5B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BA4A5B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BA4A5B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50429,7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116,4</w:t>
            </w:r>
          </w:p>
        </w:tc>
      </w:tr>
      <w:tr w:rsidR="00271376" w:rsidRPr="0030387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 xml:space="preserve">Индекс потребительских цен по Архангельской области </w:t>
            </w:r>
          </w:p>
          <w:p w:rsidR="00271376" w:rsidRPr="00BA4A5B" w:rsidRDefault="00271376" w:rsidP="009552F9">
            <w:pPr>
              <w:spacing w:line="233" w:lineRule="auto"/>
              <w:rPr>
                <w:sz w:val="24"/>
                <w:szCs w:val="24"/>
              </w:rPr>
            </w:pPr>
            <w:r w:rsidRPr="00BA4A5B">
              <w:rPr>
                <w:sz w:val="24"/>
                <w:szCs w:val="24"/>
              </w:rPr>
              <w:t>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321E8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114,0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31225,0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113,5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68113,0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AE3093" w:rsidP="001321E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</w:t>
            </w:r>
            <w:r w:rsidR="001321E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182567</w:t>
            </w:r>
            <w:r w:rsidR="00AE3093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321E8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91,7</w:t>
            </w:r>
          </w:p>
        </w:tc>
      </w:tr>
      <w:tr w:rsidR="00271376" w:rsidRPr="009552F9" w:rsidTr="002713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1E7691">
        <w:trPr>
          <w:cantSplit/>
          <w:trHeight w:val="40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4"/>
                <w:szCs w:val="24"/>
              </w:rPr>
            </w:pPr>
            <w:r w:rsidRPr="00216117"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321E8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Pr="001321E8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321E8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109,9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За 2021г.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февраль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февралю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1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="001321E8">
        <w:rPr>
          <w:rFonts w:ascii="Arial" w:hAnsi="Arial"/>
          <w:sz w:val="18"/>
          <w:szCs w:val="18"/>
          <w:lang w:eastAsia="x-none"/>
        </w:rPr>
        <w:t>февраля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1321E8">
        <w:rPr>
          <w:rFonts w:ascii="Arial" w:hAnsi="Arial"/>
          <w:sz w:val="18"/>
          <w:szCs w:val="18"/>
          <w:lang w:eastAsia="x-none"/>
        </w:rPr>
        <w:t>2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="009351F4">
        <w:rPr>
          <w:rFonts w:ascii="Arial" w:hAnsi="Arial"/>
          <w:sz w:val="18"/>
          <w:szCs w:val="18"/>
          <w:lang w:eastAsia="x-none"/>
        </w:rPr>
        <w:t>февраля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</w:t>
      </w:r>
      <w:r w:rsidR="009351F4">
        <w:rPr>
          <w:rFonts w:ascii="Arial" w:hAnsi="Arial"/>
          <w:sz w:val="18"/>
          <w:szCs w:val="18"/>
          <w:lang w:eastAsia="x-none"/>
        </w:rPr>
        <w:t>1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35155C" w:rsidRPr="001E7691" w:rsidRDefault="0035155C" w:rsidP="0035155C">
      <w:pPr>
        <w:jc w:val="both"/>
        <w:rPr>
          <w:sz w:val="18"/>
          <w:szCs w:val="18"/>
        </w:rPr>
      </w:pPr>
    </w:p>
    <w:p w:rsidR="002732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Объем инвестиций в основной капитал организаций</w:t>
      </w:r>
      <w:r w:rsidRPr="00303879">
        <w:rPr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973377" w:rsidRPr="00303879">
        <w:rPr>
          <w:sz w:val="28"/>
          <w:szCs w:val="28"/>
        </w:rPr>
        <w:t>20</w:t>
      </w:r>
      <w:r w:rsidR="001A3EF4">
        <w:rPr>
          <w:sz w:val="28"/>
          <w:szCs w:val="28"/>
        </w:rPr>
        <w:t>2</w:t>
      </w:r>
      <w:r w:rsidR="000B5064">
        <w:rPr>
          <w:sz w:val="28"/>
          <w:szCs w:val="28"/>
        </w:rPr>
        <w:t>1</w:t>
      </w:r>
      <w:r w:rsidR="0097337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у</w:t>
      </w:r>
      <w:r w:rsidRPr="00303879">
        <w:rPr>
          <w:sz w:val="28"/>
          <w:szCs w:val="28"/>
        </w:rPr>
        <w:t xml:space="preserve"> использован на </w:t>
      </w:r>
      <w:r w:rsidR="009351F4">
        <w:rPr>
          <w:sz w:val="28"/>
          <w:szCs w:val="28"/>
        </w:rPr>
        <w:t>520020</w:t>
      </w:r>
      <w:r w:rsidRPr="00303879">
        <w:rPr>
          <w:sz w:val="28"/>
          <w:szCs w:val="28"/>
        </w:rPr>
        <w:t xml:space="preserve"> тыс. рублей, что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в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3,7 раза</w:t>
      </w:r>
      <w:r w:rsidR="001A3EF4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выше</w:t>
      </w:r>
      <w:r w:rsidR="009C0CB2" w:rsidRPr="00303879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>уровня предыдущего года в</w:t>
      </w:r>
      <w:r w:rsidR="00001E11" w:rsidRPr="00303879">
        <w:rPr>
          <w:sz w:val="28"/>
          <w:szCs w:val="28"/>
        </w:rPr>
        <w:t xml:space="preserve"> фактически</w:t>
      </w:r>
      <w:r w:rsidRPr="00303879">
        <w:rPr>
          <w:sz w:val="28"/>
          <w:szCs w:val="28"/>
        </w:rPr>
        <w:t xml:space="preserve"> действ</w:t>
      </w:r>
      <w:r w:rsidR="002551C9" w:rsidRPr="00303879">
        <w:rPr>
          <w:sz w:val="28"/>
          <w:szCs w:val="28"/>
        </w:rPr>
        <w:t>овавших</w:t>
      </w:r>
      <w:r w:rsidRPr="00303879">
        <w:rPr>
          <w:sz w:val="28"/>
          <w:szCs w:val="28"/>
        </w:rPr>
        <w:t xml:space="preserve"> ценах.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Жилищное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 xml:space="preserve">В </w:t>
      </w:r>
      <w:r w:rsidR="009351F4">
        <w:rPr>
          <w:sz w:val="28"/>
          <w:szCs w:val="28"/>
        </w:rPr>
        <w:t xml:space="preserve">январе – марте </w:t>
      </w:r>
      <w:r w:rsidR="00DB2F27" w:rsidRPr="00303879">
        <w:rPr>
          <w:sz w:val="28"/>
          <w:szCs w:val="28"/>
        </w:rPr>
        <w:t>20</w:t>
      </w:r>
      <w:r w:rsidR="0035155C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9351F4">
        <w:rPr>
          <w:sz w:val="28"/>
          <w:szCs w:val="28"/>
        </w:rPr>
        <w:t>2942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9351F4">
        <w:rPr>
          <w:sz w:val="28"/>
          <w:szCs w:val="28"/>
        </w:rPr>
        <w:t>108,1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соответствующего периода</w:t>
      </w:r>
      <w:r w:rsidR="004568EE">
        <w:rPr>
          <w:sz w:val="28"/>
          <w:szCs w:val="28"/>
        </w:rPr>
        <w:t xml:space="preserve"> 20</w:t>
      </w:r>
      <w:r w:rsidR="000B5064">
        <w:rPr>
          <w:sz w:val="28"/>
          <w:szCs w:val="28"/>
        </w:rPr>
        <w:t>2</w:t>
      </w:r>
      <w:r w:rsidR="009351F4">
        <w:rPr>
          <w:sz w:val="28"/>
          <w:szCs w:val="28"/>
        </w:rPr>
        <w:t>1</w:t>
      </w:r>
      <w:r w:rsidR="004568EE">
        <w:rPr>
          <w:sz w:val="28"/>
          <w:szCs w:val="28"/>
        </w:rPr>
        <w:t xml:space="preserve"> года.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Pr="00303879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 xml:space="preserve">, в </w:t>
      </w:r>
      <w:r w:rsidR="009351F4">
        <w:rPr>
          <w:sz w:val="28"/>
          <w:szCs w:val="28"/>
        </w:rPr>
        <w:t xml:space="preserve">январе – марте </w:t>
      </w:r>
      <w:r w:rsidR="00DB2F27" w:rsidRPr="00303879">
        <w:rPr>
          <w:sz w:val="28"/>
          <w:szCs w:val="28"/>
        </w:rPr>
        <w:t>20</w:t>
      </w:r>
      <w:r w:rsidR="004508C2">
        <w:rPr>
          <w:sz w:val="28"/>
          <w:szCs w:val="28"/>
        </w:rPr>
        <w:t>2</w:t>
      </w:r>
      <w:r w:rsidR="009351F4">
        <w:rPr>
          <w:sz w:val="28"/>
          <w:szCs w:val="28"/>
        </w:rPr>
        <w:t>2</w:t>
      </w:r>
      <w:r w:rsidR="00DB2F27" w:rsidRPr="00303879">
        <w:rPr>
          <w:sz w:val="28"/>
          <w:szCs w:val="28"/>
        </w:rPr>
        <w:t xml:space="preserve"> год</w:t>
      </w:r>
      <w:r w:rsidR="009351F4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в </w:t>
      </w:r>
      <w:r w:rsidR="009351F4">
        <w:rPr>
          <w:sz w:val="28"/>
          <w:szCs w:val="28"/>
        </w:rPr>
        <w:t>2,6</w:t>
      </w:r>
      <w:r w:rsidR="000B5064">
        <w:rPr>
          <w:sz w:val="28"/>
          <w:szCs w:val="28"/>
        </w:rPr>
        <w:t xml:space="preserve"> раза</w:t>
      </w:r>
      <w:r w:rsidR="004508C2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>бол</w:t>
      </w:r>
      <w:r w:rsidR="004508C2">
        <w:rPr>
          <w:sz w:val="28"/>
          <w:szCs w:val="28"/>
        </w:rPr>
        <w:t>ьше</w:t>
      </w:r>
      <w:r w:rsidR="00DB2F27" w:rsidRPr="00303879">
        <w:rPr>
          <w:sz w:val="28"/>
          <w:szCs w:val="28"/>
        </w:rPr>
        <w:t xml:space="preserve"> уровня </w:t>
      </w:r>
      <w:r w:rsidR="009351F4">
        <w:rPr>
          <w:sz w:val="28"/>
          <w:szCs w:val="28"/>
        </w:rPr>
        <w:t xml:space="preserve">соответствующего периода </w:t>
      </w:r>
      <w:r w:rsidR="00DB2F27" w:rsidRPr="00303879">
        <w:rPr>
          <w:sz w:val="28"/>
          <w:szCs w:val="28"/>
        </w:rPr>
        <w:t xml:space="preserve">предыдущего года в сопоставимых ценах. </w:t>
      </w:r>
    </w:p>
    <w:p w:rsidR="0043073F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43073F">
        <w:rPr>
          <w:sz w:val="28"/>
          <w:szCs w:val="28"/>
        </w:rPr>
        <w:t>В сельскохозяйственных организациях на 1 апреля 2022 года по сравнению с соответствующей датой 2021 года поголовье крупного рогатого скота снизилось на 10,1%</w:t>
      </w:r>
      <w:r w:rsidR="005C7B00">
        <w:rPr>
          <w:sz w:val="28"/>
          <w:szCs w:val="28"/>
        </w:rPr>
        <w:t xml:space="preserve"> и составило 3252 головы</w:t>
      </w:r>
      <w:r w:rsidR="0043073F">
        <w:rPr>
          <w:sz w:val="28"/>
          <w:szCs w:val="28"/>
        </w:rPr>
        <w:t>, из него коров – на 6,5%</w:t>
      </w:r>
      <w:r w:rsidR="005C7B00">
        <w:rPr>
          <w:sz w:val="28"/>
          <w:szCs w:val="28"/>
        </w:rPr>
        <w:t xml:space="preserve"> и составило 1590 голов</w:t>
      </w:r>
      <w:r w:rsidR="0043073F">
        <w:rPr>
          <w:sz w:val="28"/>
          <w:szCs w:val="28"/>
        </w:rPr>
        <w:t>.</w:t>
      </w:r>
    </w:p>
    <w:p w:rsidR="00350028" w:rsidRPr="00303879" w:rsidRDefault="00350028" w:rsidP="00350028">
      <w:pPr>
        <w:ind w:firstLine="836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В сельскохозяйственных организациях в </w:t>
      </w:r>
      <w:r w:rsidR="0043073F">
        <w:rPr>
          <w:sz w:val="28"/>
          <w:szCs w:val="28"/>
        </w:rPr>
        <w:t xml:space="preserve">январе – марте </w:t>
      </w:r>
      <w:r w:rsidRPr="00303879">
        <w:rPr>
          <w:sz w:val="28"/>
          <w:szCs w:val="28"/>
        </w:rPr>
        <w:t>20</w:t>
      </w:r>
      <w:r w:rsidR="002A7796">
        <w:rPr>
          <w:sz w:val="28"/>
          <w:szCs w:val="28"/>
        </w:rPr>
        <w:t>2</w:t>
      </w:r>
      <w:r w:rsidR="0043073F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Pr="00303879">
        <w:rPr>
          <w:sz w:val="28"/>
          <w:szCs w:val="28"/>
        </w:rPr>
        <w:t xml:space="preserve"> по сравнению с соответствующим периодом предыдущего года производство скота и птицы на убой (в живом весе) </w:t>
      </w:r>
      <w:r w:rsidR="001C718B">
        <w:rPr>
          <w:sz w:val="28"/>
          <w:szCs w:val="28"/>
        </w:rPr>
        <w:t>выросло</w:t>
      </w:r>
      <w:r w:rsidR="00F27B1B" w:rsidRPr="00303879">
        <w:rPr>
          <w:sz w:val="28"/>
          <w:szCs w:val="28"/>
        </w:rPr>
        <w:t xml:space="preserve"> </w:t>
      </w:r>
      <w:r w:rsidR="00FD581D">
        <w:rPr>
          <w:sz w:val="28"/>
          <w:szCs w:val="28"/>
        </w:rPr>
        <w:t>в 2,5 раза</w:t>
      </w:r>
      <w:r w:rsidR="005C7B00">
        <w:rPr>
          <w:sz w:val="28"/>
          <w:szCs w:val="28"/>
        </w:rPr>
        <w:t xml:space="preserve"> и составило 127,5 тонны</w:t>
      </w:r>
      <w:r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сократилось</w:t>
      </w:r>
      <w:r w:rsidR="002A7796">
        <w:rPr>
          <w:sz w:val="28"/>
          <w:szCs w:val="28"/>
        </w:rPr>
        <w:t xml:space="preserve"> </w:t>
      </w:r>
      <w:r w:rsidRPr="00303879">
        <w:rPr>
          <w:sz w:val="28"/>
          <w:szCs w:val="28"/>
        </w:rPr>
        <w:t xml:space="preserve">на </w:t>
      </w:r>
      <w:r w:rsidR="00FD581D">
        <w:rPr>
          <w:sz w:val="28"/>
          <w:szCs w:val="28"/>
        </w:rPr>
        <w:t>10,2</w:t>
      </w:r>
      <w:r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1994 тонны</w:t>
      </w:r>
      <w:bookmarkStart w:id="1" w:name="_GoBack"/>
      <w:bookmarkEnd w:id="1"/>
      <w:r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FD581D">
        <w:rPr>
          <w:sz w:val="28"/>
          <w:szCs w:val="28"/>
        </w:rPr>
        <w:t>349013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FD581D">
        <w:rPr>
          <w:sz w:val="28"/>
          <w:szCs w:val="28"/>
        </w:rPr>
        <w:t>3,7</w:t>
      </w:r>
      <w:r w:rsidR="00350028" w:rsidRPr="00303879">
        <w:rPr>
          <w:sz w:val="28"/>
          <w:szCs w:val="28"/>
        </w:rPr>
        <w:t>% выше, чем за</w:t>
      </w:r>
      <w:r w:rsidR="00FD581D">
        <w:rPr>
          <w:sz w:val="28"/>
          <w:szCs w:val="28"/>
        </w:rPr>
        <w:t xml:space="preserve"> январь - март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FD581D">
        <w:rPr>
          <w:sz w:val="28"/>
          <w:szCs w:val="28"/>
        </w:rPr>
        <w:t>непродовольственные товары</w:t>
      </w:r>
      <w:r w:rsidR="006131B1">
        <w:rPr>
          <w:sz w:val="28"/>
          <w:szCs w:val="28"/>
        </w:rPr>
        <w:t xml:space="preserve"> – </w:t>
      </w:r>
      <w:r w:rsidR="00FD581D">
        <w:rPr>
          <w:sz w:val="28"/>
          <w:szCs w:val="28"/>
        </w:rPr>
        <w:t>51,4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>. Кроме того, организациями общественного питания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реализовано продукции на </w:t>
      </w:r>
      <w:r w:rsidR="00FD581D">
        <w:rPr>
          <w:sz w:val="28"/>
          <w:szCs w:val="28"/>
        </w:rPr>
        <w:t>6936</w:t>
      </w:r>
      <w:r w:rsidR="00350028" w:rsidRPr="00303879">
        <w:rPr>
          <w:sz w:val="28"/>
          <w:szCs w:val="28"/>
        </w:rPr>
        <w:t xml:space="preserve"> тыс. рублей (на </w:t>
      </w:r>
      <w:r w:rsidR="00FD581D">
        <w:rPr>
          <w:sz w:val="28"/>
          <w:szCs w:val="28"/>
        </w:rPr>
        <w:t>23,8</w:t>
      </w:r>
      <w:r w:rsidR="00350028" w:rsidRPr="00303879">
        <w:rPr>
          <w:sz w:val="28"/>
          <w:szCs w:val="28"/>
        </w:rPr>
        <w:t xml:space="preserve">% </w:t>
      </w:r>
      <w:r w:rsidR="001C718B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 </w:t>
      </w:r>
      <w:r w:rsidR="00FD581D">
        <w:rPr>
          <w:sz w:val="28"/>
          <w:szCs w:val="28"/>
        </w:rPr>
        <w:t>соответствующего периода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Объем платных услуг, оказанных населению в </w:t>
      </w:r>
      <w:r w:rsidR="00FD581D">
        <w:rPr>
          <w:sz w:val="28"/>
          <w:szCs w:val="28"/>
          <w:lang w:val="en-US"/>
        </w:rPr>
        <w:t>I</w:t>
      </w:r>
      <w:r w:rsidR="00FD581D" w:rsidRPr="00FD581D">
        <w:rPr>
          <w:sz w:val="28"/>
          <w:szCs w:val="28"/>
        </w:rPr>
        <w:t xml:space="preserve"> </w:t>
      </w:r>
      <w:r w:rsidR="00FD581D">
        <w:rPr>
          <w:sz w:val="28"/>
          <w:szCs w:val="28"/>
        </w:rPr>
        <w:t>квартале</w:t>
      </w:r>
      <w:r w:rsidR="00350028" w:rsidRPr="00303879">
        <w:rPr>
          <w:sz w:val="28"/>
          <w:szCs w:val="28"/>
        </w:rPr>
        <w:t xml:space="preserve"> 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FD581D">
        <w:rPr>
          <w:sz w:val="28"/>
          <w:szCs w:val="28"/>
        </w:rPr>
        <w:t>13938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FD581D">
        <w:rPr>
          <w:sz w:val="28"/>
          <w:szCs w:val="28"/>
        </w:rPr>
        <w:t>17,2</w:t>
      </w:r>
      <w:r w:rsidR="00350028" w:rsidRPr="00303879">
        <w:rPr>
          <w:sz w:val="28"/>
          <w:szCs w:val="28"/>
        </w:rPr>
        <w:t xml:space="preserve">% </w:t>
      </w:r>
      <w:r w:rsidR="00FD581D">
        <w:rPr>
          <w:sz w:val="28"/>
          <w:szCs w:val="28"/>
        </w:rPr>
        <w:t>меньше</w:t>
      </w:r>
      <w:r w:rsidR="0035002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аналогичного периода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350028" w:rsidRPr="00303879">
        <w:rPr>
          <w:sz w:val="28"/>
          <w:szCs w:val="28"/>
        </w:rPr>
        <w:t xml:space="preserve"> года.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FD581D">
        <w:rPr>
          <w:sz w:val="28"/>
          <w:szCs w:val="28"/>
        </w:rPr>
        <w:t xml:space="preserve">январе – марте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FD581D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FD581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FD581D">
        <w:rPr>
          <w:sz w:val="28"/>
          <w:szCs w:val="28"/>
        </w:rPr>
        <w:t>49380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FD581D">
        <w:rPr>
          <w:sz w:val="28"/>
          <w:szCs w:val="28"/>
        </w:rPr>
        <w:t>65,9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FD581D">
        <w:rPr>
          <w:sz w:val="28"/>
          <w:szCs w:val="28"/>
        </w:rPr>
        <w:t xml:space="preserve"> соответствующего периода</w:t>
      </w:r>
      <w:r w:rsidR="009E06B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FD581D">
        <w:rPr>
          <w:sz w:val="28"/>
          <w:szCs w:val="28"/>
        </w:rPr>
        <w:t>1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9065B3">
        <w:rPr>
          <w:b/>
          <w:sz w:val="28"/>
          <w:szCs w:val="28"/>
        </w:rPr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CA24D9">
        <w:rPr>
          <w:sz w:val="28"/>
          <w:szCs w:val="28"/>
          <w:lang w:val="en-US"/>
        </w:rPr>
        <w:t>I</w:t>
      </w:r>
      <w:r w:rsidR="00CA24D9" w:rsidRPr="00CA24D9">
        <w:rPr>
          <w:sz w:val="28"/>
          <w:szCs w:val="28"/>
        </w:rPr>
        <w:t xml:space="preserve"> </w:t>
      </w:r>
      <w:r w:rsidR="00CA24D9">
        <w:rPr>
          <w:sz w:val="28"/>
          <w:szCs w:val="28"/>
        </w:rPr>
        <w:t xml:space="preserve">квартал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CA24D9">
        <w:rPr>
          <w:sz w:val="28"/>
          <w:szCs w:val="28"/>
        </w:rPr>
        <w:t>13,1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: за </w:t>
      </w:r>
      <w:r w:rsidR="00CA24D9">
        <w:rPr>
          <w:sz w:val="28"/>
          <w:szCs w:val="28"/>
          <w:lang w:val="en-US"/>
        </w:rPr>
        <w:t>I</w:t>
      </w:r>
      <w:r w:rsidR="00CA24D9" w:rsidRPr="00CA24D9">
        <w:rPr>
          <w:sz w:val="28"/>
          <w:szCs w:val="28"/>
        </w:rPr>
        <w:t xml:space="preserve"> </w:t>
      </w:r>
      <w:r w:rsidR="00CA24D9">
        <w:rPr>
          <w:sz w:val="28"/>
          <w:szCs w:val="28"/>
        </w:rPr>
        <w:t xml:space="preserve">квартал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CA24D9">
        <w:rPr>
          <w:sz w:val="28"/>
          <w:szCs w:val="28"/>
        </w:rPr>
        <w:t xml:space="preserve">а </w:t>
      </w:r>
      <w:r w:rsidR="00350028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подорожали на </w:t>
      </w:r>
      <w:r w:rsidR="00CA24D9">
        <w:rPr>
          <w:sz w:val="28"/>
          <w:szCs w:val="28"/>
        </w:rPr>
        <w:t>15</w:t>
      </w:r>
      <w:r w:rsidR="00350028" w:rsidRPr="00303879">
        <w:rPr>
          <w:sz w:val="28"/>
          <w:szCs w:val="28"/>
        </w:rPr>
        <w:t xml:space="preserve">%, </w:t>
      </w:r>
      <w:r w:rsidR="00F57492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на </w:t>
      </w:r>
      <w:r w:rsidR="001C718B">
        <w:rPr>
          <w:sz w:val="28"/>
          <w:szCs w:val="28"/>
        </w:rPr>
        <w:t>7,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%. За </w:t>
      </w:r>
      <w:r w:rsidR="00CA24D9">
        <w:rPr>
          <w:sz w:val="28"/>
          <w:szCs w:val="28"/>
        </w:rPr>
        <w:t>март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прирост потребительских цен составил </w:t>
      </w:r>
      <w:r w:rsidR="00CA24D9">
        <w:rPr>
          <w:sz w:val="28"/>
          <w:szCs w:val="28"/>
        </w:rPr>
        <w:t>10,3</w:t>
      </w:r>
      <w:r w:rsidR="00350028" w:rsidRPr="00303879">
        <w:rPr>
          <w:sz w:val="28"/>
          <w:szCs w:val="28"/>
        </w:rPr>
        <w:t xml:space="preserve">%, в том числе на товары – </w:t>
      </w:r>
      <w:r w:rsidR="00CA24D9">
        <w:rPr>
          <w:sz w:val="28"/>
          <w:szCs w:val="28"/>
        </w:rPr>
        <w:t>11,6</w:t>
      </w:r>
      <w:r w:rsidR="00350028" w:rsidRPr="00303879">
        <w:rPr>
          <w:sz w:val="28"/>
          <w:szCs w:val="28"/>
        </w:rPr>
        <w:t xml:space="preserve">%, на услуги – </w:t>
      </w:r>
      <w:r w:rsidR="00CA24D9">
        <w:rPr>
          <w:sz w:val="28"/>
          <w:szCs w:val="28"/>
        </w:rPr>
        <w:t>6,2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CA24D9">
        <w:rPr>
          <w:sz w:val="28"/>
          <w:szCs w:val="28"/>
        </w:rPr>
        <w:t>марта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CA24D9">
        <w:rPr>
          <w:sz w:val="28"/>
          <w:szCs w:val="28"/>
        </w:rPr>
        <w:t>7252,7</w:t>
      </w:r>
      <w:r w:rsidRPr="00303879">
        <w:rPr>
          <w:sz w:val="28"/>
          <w:szCs w:val="28"/>
        </w:rPr>
        <w:t xml:space="preserve"> рубля и </w:t>
      </w:r>
      <w:r w:rsidR="00F57492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CA24D9">
        <w:rPr>
          <w:sz w:val="28"/>
          <w:szCs w:val="28"/>
        </w:rPr>
        <w:t>8,7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CA24D9">
        <w:rPr>
          <w:sz w:val="28"/>
          <w:szCs w:val="28"/>
        </w:rPr>
        <w:t>1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CA24D9">
        <w:rPr>
          <w:sz w:val="28"/>
          <w:szCs w:val="28"/>
        </w:rPr>
        <w:t>830,1</w:t>
      </w:r>
      <w:r w:rsidRPr="00303879">
        <w:rPr>
          <w:sz w:val="28"/>
          <w:szCs w:val="28"/>
        </w:rPr>
        <w:t xml:space="preserve"> рубля или на </w:t>
      </w:r>
      <w:r w:rsidR="00CA24D9">
        <w:rPr>
          <w:sz w:val="28"/>
          <w:szCs w:val="28"/>
        </w:rPr>
        <w:t>12,9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CA24D9">
        <w:rPr>
          <w:sz w:val="28"/>
          <w:szCs w:val="28"/>
        </w:rPr>
        <w:t>марта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CA24D9">
        <w:rPr>
          <w:sz w:val="28"/>
          <w:szCs w:val="28"/>
        </w:rPr>
        <w:t>2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CA24D9">
        <w:rPr>
          <w:sz w:val="28"/>
          <w:szCs w:val="28"/>
        </w:rPr>
        <w:t>58,78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CA24D9">
        <w:rPr>
          <w:sz w:val="28"/>
          <w:szCs w:val="28"/>
        </w:rPr>
        <w:t>196,72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CA24D9">
        <w:rPr>
          <w:sz w:val="28"/>
          <w:szCs w:val="28"/>
        </w:rPr>
        <w:t>65,93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CA24D9">
        <w:rPr>
          <w:sz w:val="28"/>
          <w:szCs w:val="28"/>
        </w:rPr>
        <w:t>154,83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67063">
        <w:rPr>
          <w:sz w:val="28"/>
          <w:szCs w:val="28"/>
        </w:rPr>
        <w:t>47,</w:t>
      </w:r>
      <w:r w:rsidR="00CA24D9">
        <w:rPr>
          <w:sz w:val="28"/>
          <w:szCs w:val="28"/>
        </w:rPr>
        <w:t>76</w:t>
      </w:r>
      <w:r w:rsidR="00B13771" w:rsidRPr="00303879">
        <w:rPr>
          <w:sz w:val="28"/>
          <w:szCs w:val="28"/>
        </w:rPr>
        <w:t xml:space="preserve"> за 1 литр, телевизор цветного изображения – </w:t>
      </w:r>
      <w:r w:rsidR="00CA24D9">
        <w:rPr>
          <w:sz w:val="28"/>
          <w:szCs w:val="28"/>
        </w:rPr>
        <w:t>53952,72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CA24D9">
        <w:rPr>
          <w:sz w:val="28"/>
          <w:szCs w:val="28"/>
        </w:rPr>
        <w:t>51191,63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F77F2D">
        <w:rPr>
          <w:sz w:val="28"/>
          <w:szCs w:val="28"/>
          <w:lang w:val="en-US"/>
        </w:rPr>
        <w:t>I</w:t>
      </w:r>
      <w:r w:rsidR="00F77F2D" w:rsidRPr="00F77F2D">
        <w:rPr>
          <w:sz w:val="28"/>
          <w:szCs w:val="28"/>
        </w:rPr>
        <w:t xml:space="preserve"> </w:t>
      </w:r>
      <w:r w:rsidR="00503D52">
        <w:rPr>
          <w:sz w:val="28"/>
          <w:szCs w:val="28"/>
        </w:rPr>
        <w:t xml:space="preserve">квартале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503D52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503D52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(тарифы)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услуги банков – </w:t>
      </w:r>
      <w:r w:rsidR="00503D52">
        <w:rPr>
          <w:sz w:val="28"/>
          <w:szCs w:val="28"/>
        </w:rPr>
        <w:t>в 1,7 раза,</w:t>
      </w:r>
      <w:r w:rsidR="00F57492" w:rsidRPr="00F57492">
        <w:t xml:space="preserve"> </w:t>
      </w:r>
      <w:r w:rsidR="00503D52" w:rsidRPr="00503D52">
        <w:rPr>
          <w:sz w:val="28"/>
          <w:szCs w:val="28"/>
        </w:rPr>
        <w:t xml:space="preserve">ветеринарные услуги – на </w:t>
      </w:r>
      <w:r w:rsidR="00503D52">
        <w:rPr>
          <w:sz w:val="28"/>
          <w:szCs w:val="28"/>
        </w:rPr>
        <w:t>16,7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503D52" w:rsidRPr="00503D52">
        <w:rPr>
          <w:sz w:val="28"/>
          <w:szCs w:val="28"/>
        </w:rPr>
        <w:t xml:space="preserve">услуги правового характера – на </w:t>
      </w:r>
      <w:r w:rsidR="00503D52">
        <w:rPr>
          <w:sz w:val="28"/>
          <w:szCs w:val="28"/>
        </w:rPr>
        <w:t>8,2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503D52" w:rsidRPr="00503D52">
        <w:rPr>
          <w:sz w:val="28"/>
          <w:szCs w:val="28"/>
        </w:rPr>
        <w:t xml:space="preserve">услуги в сфере туризма – на </w:t>
      </w:r>
      <w:r w:rsidR="00503D52">
        <w:rPr>
          <w:sz w:val="28"/>
          <w:szCs w:val="28"/>
        </w:rPr>
        <w:t>5,9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бытовые услуги – на </w:t>
      </w:r>
      <w:r w:rsidR="00503D52">
        <w:rPr>
          <w:sz w:val="28"/>
          <w:szCs w:val="28"/>
        </w:rPr>
        <w:t>3</w:t>
      </w:r>
      <w:r w:rsidR="00503D52" w:rsidRPr="00503D52">
        <w:rPr>
          <w:sz w:val="28"/>
          <w:szCs w:val="28"/>
        </w:rPr>
        <w:t xml:space="preserve">,7%, медицинские услуги – на </w:t>
      </w:r>
      <w:r w:rsidR="00503D52">
        <w:rPr>
          <w:sz w:val="28"/>
          <w:szCs w:val="28"/>
        </w:rPr>
        <w:t>3,6</w:t>
      </w:r>
      <w:r w:rsidR="00503D52" w:rsidRPr="00503D52">
        <w:rPr>
          <w:sz w:val="28"/>
          <w:szCs w:val="28"/>
        </w:rPr>
        <w:t xml:space="preserve">%, санаторно – оздоровительные услуги – на </w:t>
      </w:r>
      <w:r w:rsidR="00503D52">
        <w:rPr>
          <w:sz w:val="28"/>
          <w:szCs w:val="28"/>
        </w:rPr>
        <w:t>3,2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>услуги образования – на</w:t>
      </w:r>
      <w:proofErr w:type="gramEnd"/>
      <w:r w:rsidR="00503D52" w:rsidRPr="00503D52">
        <w:rPr>
          <w:sz w:val="28"/>
          <w:szCs w:val="28"/>
        </w:rPr>
        <w:t xml:space="preserve"> </w:t>
      </w:r>
      <w:r w:rsidR="00503D52">
        <w:rPr>
          <w:sz w:val="28"/>
          <w:szCs w:val="28"/>
        </w:rPr>
        <w:t>0,8</w:t>
      </w:r>
      <w:r w:rsidR="00503D52" w:rsidRPr="00503D52">
        <w:rPr>
          <w:sz w:val="28"/>
          <w:szCs w:val="28"/>
        </w:rPr>
        <w:t xml:space="preserve">%, </w:t>
      </w:r>
      <w:r w:rsidR="00503D52">
        <w:rPr>
          <w:sz w:val="28"/>
          <w:szCs w:val="28"/>
        </w:rPr>
        <w:t xml:space="preserve">жилищные и коммунальные услуги (включая аренду квартир) – на 0,5%. Снизились цены (тарифы) на </w:t>
      </w:r>
      <w:r w:rsidR="00E23CCF">
        <w:rPr>
          <w:sz w:val="28"/>
          <w:szCs w:val="28"/>
        </w:rPr>
        <w:t>услуги</w:t>
      </w:r>
      <w:r w:rsidR="00503D52" w:rsidRPr="00503D52">
        <w:t xml:space="preserve"> </w:t>
      </w:r>
      <w:r w:rsidR="00503D52" w:rsidRPr="00503D52">
        <w:rPr>
          <w:sz w:val="28"/>
          <w:szCs w:val="28"/>
        </w:rPr>
        <w:t xml:space="preserve">физической культуры и спорта – на </w:t>
      </w:r>
      <w:r w:rsidR="00503D52">
        <w:rPr>
          <w:sz w:val="28"/>
          <w:szCs w:val="28"/>
        </w:rPr>
        <w:t>0,6</w:t>
      </w:r>
      <w:r w:rsidR="00503D52" w:rsidRPr="00503D52">
        <w:rPr>
          <w:sz w:val="28"/>
          <w:szCs w:val="28"/>
        </w:rPr>
        <w:t xml:space="preserve">%, </w:t>
      </w:r>
      <w:r w:rsidR="00E23CCF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услуги пассажирского транспорта – на </w:t>
      </w:r>
      <w:r w:rsidR="00503D52">
        <w:rPr>
          <w:sz w:val="28"/>
          <w:szCs w:val="28"/>
        </w:rPr>
        <w:t>0,5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услуги </w:t>
      </w:r>
      <w:r w:rsidR="00E23CCF">
        <w:rPr>
          <w:sz w:val="28"/>
          <w:szCs w:val="28"/>
        </w:rPr>
        <w:t xml:space="preserve">организаций культуры </w:t>
      </w:r>
      <w:r w:rsidR="00F57492" w:rsidRPr="00F57492">
        <w:rPr>
          <w:sz w:val="28"/>
          <w:szCs w:val="28"/>
        </w:rPr>
        <w:t xml:space="preserve"> – на </w:t>
      </w:r>
      <w:r w:rsidR="00503D52">
        <w:rPr>
          <w:sz w:val="28"/>
          <w:szCs w:val="28"/>
        </w:rPr>
        <w:t>0,3</w:t>
      </w:r>
      <w:r w:rsidR="00F57492" w:rsidRPr="00F57492">
        <w:rPr>
          <w:sz w:val="28"/>
          <w:szCs w:val="28"/>
        </w:rPr>
        <w:t>%</w:t>
      </w:r>
      <w:r w:rsidR="00A1447C">
        <w:rPr>
          <w:sz w:val="28"/>
          <w:szCs w:val="28"/>
        </w:rPr>
        <w:t>,</w:t>
      </w:r>
      <w:r w:rsidR="00E23CCF">
        <w:rPr>
          <w:sz w:val="28"/>
          <w:szCs w:val="28"/>
        </w:rPr>
        <w:t xml:space="preserve"> </w:t>
      </w:r>
      <w:r w:rsidR="00151FE7" w:rsidRPr="00151FE7">
        <w:rPr>
          <w:sz w:val="28"/>
          <w:szCs w:val="28"/>
        </w:rPr>
        <w:t xml:space="preserve">услуги </w:t>
      </w:r>
      <w:r w:rsidR="00E23CCF">
        <w:rPr>
          <w:sz w:val="28"/>
          <w:szCs w:val="28"/>
        </w:rPr>
        <w:t>связи</w:t>
      </w:r>
      <w:r w:rsidR="00151FE7" w:rsidRPr="00151FE7">
        <w:rPr>
          <w:sz w:val="28"/>
          <w:szCs w:val="28"/>
        </w:rPr>
        <w:t xml:space="preserve"> – на </w:t>
      </w:r>
      <w:r w:rsidR="00503D52">
        <w:rPr>
          <w:sz w:val="28"/>
          <w:szCs w:val="28"/>
        </w:rPr>
        <w:t>0,2</w:t>
      </w:r>
      <w:r w:rsidR="00151FE7" w:rsidRPr="00151FE7">
        <w:rPr>
          <w:sz w:val="28"/>
          <w:szCs w:val="28"/>
        </w:rPr>
        <w:t>%</w:t>
      </w:r>
      <w:r w:rsidR="0053225C" w:rsidRPr="00303879">
        <w:rPr>
          <w:sz w:val="28"/>
          <w:szCs w:val="28"/>
        </w:rPr>
        <w:t>.</w:t>
      </w:r>
    </w:p>
    <w:p w:rsidR="00350028" w:rsidRPr="00303879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224F91">
        <w:rPr>
          <w:sz w:val="28"/>
          <w:szCs w:val="28"/>
        </w:rPr>
        <w:t>февраль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224F91">
        <w:rPr>
          <w:sz w:val="28"/>
          <w:szCs w:val="28"/>
        </w:rPr>
        <w:t>31225</w:t>
      </w:r>
      <w:r w:rsidR="00190055" w:rsidRPr="00303879">
        <w:rPr>
          <w:sz w:val="28"/>
          <w:szCs w:val="28"/>
        </w:rPr>
        <w:t xml:space="preserve"> тыс. рублей </w:t>
      </w:r>
      <w:r w:rsidR="000702A7">
        <w:rPr>
          <w:sz w:val="28"/>
          <w:szCs w:val="28"/>
        </w:rPr>
        <w:t>прибыли</w:t>
      </w:r>
      <w:r w:rsidR="00190055" w:rsidRPr="00303879">
        <w:rPr>
          <w:sz w:val="28"/>
          <w:szCs w:val="28"/>
        </w:rPr>
        <w:t xml:space="preserve">. 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224F91">
        <w:rPr>
          <w:sz w:val="28"/>
          <w:szCs w:val="28"/>
        </w:rPr>
        <w:t>февраля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224F91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достигла </w:t>
      </w:r>
      <w:r w:rsidR="00224F91">
        <w:rPr>
          <w:sz w:val="28"/>
          <w:szCs w:val="28"/>
        </w:rPr>
        <w:t>280356</w:t>
      </w:r>
      <w:r w:rsidR="00350028" w:rsidRPr="00303879">
        <w:rPr>
          <w:sz w:val="28"/>
          <w:szCs w:val="28"/>
        </w:rPr>
        <w:t xml:space="preserve"> тыс. рублей, в том числе кредиторская – </w:t>
      </w:r>
      <w:r w:rsidR="00950414">
        <w:rPr>
          <w:sz w:val="28"/>
          <w:szCs w:val="28"/>
        </w:rPr>
        <w:t>182567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950414">
        <w:rPr>
          <w:sz w:val="28"/>
          <w:szCs w:val="28"/>
        </w:rPr>
        <w:t>68113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7D358E">
        <w:rPr>
          <w:sz w:val="28"/>
          <w:szCs w:val="28"/>
        </w:rPr>
        <w:t>-</w:t>
      </w:r>
      <w:r w:rsidR="00950414">
        <w:rPr>
          <w:sz w:val="28"/>
          <w:szCs w:val="28"/>
        </w:rPr>
        <w:t>февраль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950414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950414">
        <w:rPr>
          <w:sz w:val="28"/>
          <w:szCs w:val="28"/>
        </w:rPr>
        <w:t>50429,7</w:t>
      </w:r>
      <w:r w:rsidR="00755F48" w:rsidRPr="00303879">
        <w:rPr>
          <w:sz w:val="28"/>
          <w:szCs w:val="28"/>
        </w:rPr>
        <w:t xml:space="preserve"> 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</w:t>
      </w:r>
      <w:r w:rsidR="00755F48" w:rsidRPr="00303879">
        <w:rPr>
          <w:sz w:val="28"/>
          <w:szCs w:val="28"/>
        </w:rPr>
        <w:lastRenderedPageBreak/>
        <w:t>20</w:t>
      </w:r>
      <w:r w:rsidR="0043763E">
        <w:rPr>
          <w:sz w:val="28"/>
          <w:szCs w:val="28"/>
        </w:rPr>
        <w:t>2</w:t>
      </w:r>
      <w:r w:rsidR="00950414">
        <w:rPr>
          <w:sz w:val="28"/>
          <w:szCs w:val="28"/>
        </w:rPr>
        <w:t>1</w:t>
      </w:r>
      <w:r w:rsidR="00755F48" w:rsidRPr="00303879">
        <w:rPr>
          <w:sz w:val="28"/>
          <w:szCs w:val="28"/>
        </w:rPr>
        <w:t xml:space="preserve"> года на </w:t>
      </w:r>
      <w:r w:rsidR="00950414">
        <w:rPr>
          <w:sz w:val="28"/>
          <w:szCs w:val="28"/>
        </w:rPr>
        <w:t>16,4</w:t>
      </w:r>
      <w:r w:rsidR="00755F48" w:rsidRPr="00303879">
        <w:rPr>
          <w:sz w:val="28"/>
          <w:szCs w:val="28"/>
        </w:rPr>
        <w:t xml:space="preserve">%. </w:t>
      </w:r>
      <w:r w:rsidR="0043763E">
        <w:rPr>
          <w:sz w:val="28"/>
          <w:szCs w:val="28"/>
        </w:rPr>
        <w:t xml:space="preserve">Среднемесячная заработная плата за </w:t>
      </w:r>
      <w:r w:rsidR="00950414">
        <w:rPr>
          <w:sz w:val="28"/>
          <w:szCs w:val="28"/>
        </w:rPr>
        <w:t>февраль</w:t>
      </w:r>
      <w:r w:rsidR="0043763E">
        <w:rPr>
          <w:sz w:val="28"/>
          <w:szCs w:val="28"/>
        </w:rPr>
        <w:t xml:space="preserve"> 202</w:t>
      </w:r>
      <w:r w:rsidR="00950414">
        <w:rPr>
          <w:sz w:val="28"/>
          <w:szCs w:val="28"/>
        </w:rPr>
        <w:t>2</w:t>
      </w:r>
      <w:r w:rsidR="0043763E">
        <w:rPr>
          <w:sz w:val="28"/>
          <w:szCs w:val="28"/>
        </w:rPr>
        <w:t xml:space="preserve"> года сложилась в размере </w:t>
      </w:r>
      <w:r w:rsidR="00950414">
        <w:rPr>
          <w:sz w:val="28"/>
          <w:szCs w:val="28"/>
        </w:rPr>
        <w:t>48414,0</w:t>
      </w:r>
      <w:r w:rsidR="0043763E">
        <w:rPr>
          <w:sz w:val="28"/>
          <w:szCs w:val="28"/>
        </w:rPr>
        <w:t xml:space="preserve"> рубля и возросла по сравнению с </w:t>
      </w:r>
      <w:r w:rsidR="00950414">
        <w:rPr>
          <w:sz w:val="28"/>
          <w:szCs w:val="28"/>
        </w:rPr>
        <w:t>февралем</w:t>
      </w:r>
      <w:r w:rsidR="0043763E">
        <w:rPr>
          <w:sz w:val="28"/>
          <w:szCs w:val="28"/>
        </w:rPr>
        <w:t xml:space="preserve"> 202</w:t>
      </w:r>
      <w:r w:rsidR="00950414">
        <w:rPr>
          <w:sz w:val="28"/>
          <w:szCs w:val="28"/>
        </w:rPr>
        <w:t>1</w:t>
      </w:r>
      <w:r w:rsidR="0043763E">
        <w:rPr>
          <w:sz w:val="28"/>
          <w:szCs w:val="28"/>
        </w:rPr>
        <w:t xml:space="preserve"> года на 1</w:t>
      </w:r>
      <w:r w:rsidR="00950414">
        <w:rPr>
          <w:sz w:val="28"/>
          <w:szCs w:val="28"/>
        </w:rPr>
        <w:t>3</w:t>
      </w:r>
      <w:r w:rsidR="0043763E">
        <w:rPr>
          <w:sz w:val="28"/>
          <w:szCs w:val="28"/>
        </w:rPr>
        <w:t xml:space="preserve">,3%, по сравнению с </w:t>
      </w:r>
      <w:r w:rsidR="00950414">
        <w:rPr>
          <w:sz w:val="28"/>
          <w:szCs w:val="28"/>
        </w:rPr>
        <w:t>январем</w:t>
      </w:r>
      <w:r w:rsidR="0043763E">
        <w:rPr>
          <w:sz w:val="28"/>
          <w:szCs w:val="28"/>
        </w:rPr>
        <w:t xml:space="preserve"> 202</w:t>
      </w:r>
      <w:r w:rsidR="00950414">
        <w:rPr>
          <w:sz w:val="28"/>
          <w:szCs w:val="28"/>
        </w:rPr>
        <w:t>2</w:t>
      </w:r>
      <w:r w:rsidR="0043763E">
        <w:rPr>
          <w:sz w:val="28"/>
          <w:szCs w:val="28"/>
        </w:rPr>
        <w:t xml:space="preserve"> года у</w:t>
      </w:r>
      <w:r w:rsidR="00950414">
        <w:rPr>
          <w:sz w:val="28"/>
          <w:szCs w:val="28"/>
        </w:rPr>
        <w:t>меньши</w:t>
      </w:r>
      <w:r w:rsidR="0043763E">
        <w:rPr>
          <w:sz w:val="28"/>
          <w:szCs w:val="28"/>
        </w:rPr>
        <w:t xml:space="preserve">лась на </w:t>
      </w:r>
      <w:r w:rsidR="00950414">
        <w:rPr>
          <w:sz w:val="28"/>
          <w:szCs w:val="28"/>
        </w:rPr>
        <w:t>7,7</w:t>
      </w:r>
      <w:r w:rsidR="0043763E">
        <w:rPr>
          <w:sz w:val="28"/>
          <w:szCs w:val="28"/>
        </w:rPr>
        <w:t>%.</w:t>
      </w:r>
      <w:proofErr w:type="gramEnd"/>
    </w:p>
    <w:p w:rsidR="00F64258" w:rsidRPr="00303879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в январе</w:t>
      </w:r>
      <w:r w:rsidR="007D358E">
        <w:rPr>
          <w:sz w:val="28"/>
          <w:szCs w:val="28"/>
        </w:rPr>
        <w:t>-</w:t>
      </w:r>
      <w:r w:rsidR="00950414">
        <w:rPr>
          <w:sz w:val="28"/>
          <w:szCs w:val="28"/>
        </w:rPr>
        <w:t>феврале</w:t>
      </w:r>
      <w:r w:rsidR="00755F48" w:rsidRPr="00303879">
        <w:rPr>
          <w:sz w:val="28"/>
          <w:szCs w:val="28"/>
        </w:rPr>
        <w:t xml:space="preserve"> 20</w:t>
      </w:r>
      <w:r w:rsidR="00930A52">
        <w:rPr>
          <w:sz w:val="28"/>
          <w:szCs w:val="28"/>
        </w:rPr>
        <w:t>2</w:t>
      </w:r>
      <w:r w:rsidR="00950414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года составило </w:t>
      </w:r>
      <w:r w:rsidR="00950414">
        <w:rPr>
          <w:sz w:val="28"/>
          <w:szCs w:val="28"/>
        </w:rPr>
        <w:t>3492</w:t>
      </w:r>
      <w:r w:rsidR="000B0EBD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t>человек</w:t>
      </w:r>
      <w:r w:rsidR="00950414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, что </w:t>
      </w:r>
      <w:r w:rsidR="00950414">
        <w:rPr>
          <w:sz w:val="28"/>
          <w:szCs w:val="28"/>
        </w:rPr>
        <w:t>мен</w:t>
      </w:r>
      <w:r w:rsidR="0043763E">
        <w:rPr>
          <w:sz w:val="28"/>
          <w:szCs w:val="28"/>
        </w:rPr>
        <w:t xml:space="preserve">ьше, чем в январе – </w:t>
      </w:r>
      <w:r w:rsidR="00950414">
        <w:rPr>
          <w:sz w:val="28"/>
          <w:szCs w:val="28"/>
        </w:rPr>
        <w:t>феврале</w:t>
      </w:r>
      <w:r w:rsidR="0043763E">
        <w:rPr>
          <w:sz w:val="28"/>
          <w:szCs w:val="28"/>
        </w:rPr>
        <w:t xml:space="preserve"> 202</w:t>
      </w:r>
      <w:r w:rsidR="00950414">
        <w:rPr>
          <w:sz w:val="28"/>
          <w:szCs w:val="28"/>
        </w:rPr>
        <w:t>1</w:t>
      </w:r>
      <w:r w:rsidR="0043763E">
        <w:rPr>
          <w:sz w:val="28"/>
          <w:szCs w:val="28"/>
        </w:rPr>
        <w:t xml:space="preserve"> года на </w:t>
      </w:r>
      <w:r w:rsidR="00950414">
        <w:rPr>
          <w:sz w:val="28"/>
          <w:szCs w:val="28"/>
        </w:rPr>
        <w:t>136</w:t>
      </w:r>
      <w:r w:rsidR="0043763E">
        <w:rPr>
          <w:sz w:val="28"/>
          <w:szCs w:val="28"/>
        </w:rPr>
        <w:t xml:space="preserve"> человек. В январе – </w:t>
      </w:r>
      <w:r w:rsidR="00950414">
        <w:rPr>
          <w:sz w:val="28"/>
          <w:szCs w:val="28"/>
        </w:rPr>
        <w:t>феврале</w:t>
      </w:r>
      <w:r w:rsidR="0043763E">
        <w:rPr>
          <w:sz w:val="28"/>
          <w:szCs w:val="28"/>
        </w:rPr>
        <w:t xml:space="preserve"> 202</w:t>
      </w:r>
      <w:r w:rsidR="00950414">
        <w:rPr>
          <w:sz w:val="28"/>
          <w:szCs w:val="28"/>
        </w:rPr>
        <w:t>2</w:t>
      </w:r>
      <w:r w:rsidR="0043763E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950414">
        <w:rPr>
          <w:sz w:val="28"/>
          <w:szCs w:val="28"/>
        </w:rPr>
        <w:t>4</w:t>
      </w:r>
      <w:r w:rsidR="0043763E">
        <w:rPr>
          <w:sz w:val="28"/>
          <w:szCs w:val="28"/>
        </w:rPr>
        <w:t>% лиц, выполнявших работы по договорам гражданско – правового характера – 4,</w:t>
      </w:r>
      <w:r w:rsidR="00950414">
        <w:rPr>
          <w:sz w:val="28"/>
          <w:szCs w:val="28"/>
        </w:rPr>
        <w:t>1</w:t>
      </w:r>
      <w:r w:rsidR="0043763E">
        <w:rPr>
          <w:sz w:val="28"/>
          <w:szCs w:val="28"/>
        </w:rPr>
        <w:t>%</w:t>
      </w:r>
      <w:r w:rsidR="00F64258" w:rsidRPr="00303879">
        <w:rPr>
          <w:sz w:val="28"/>
          <w:szCs w:val="28"/>
        </w:rPr>
        <w:t>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proofErr w:type="gramStart"/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 xml:space="preserve">зарегистрированных в органах службы занятости на конец </w:t>
      </w:r>
      <w:r w:rsidR="00950414">
        <w:rPr>
          <w:sz w:val="28"/>
          <w:szCs w:val="28"/>
        </w:rPr>
        <w:t>марта</w:t>
      </w:r>
      <w:r w:rsidR="00930A52">
        <w:rPr>
          <w:sz w:val="28"/>
          <w:szCs w:val="28"/>
        </w:rPr>
        <w:t xml:space="preserve"> составила</w:t>
      </w:r>
      <w:proofErr w:type="gramEnd"/>
      <w:r w:rsidR="00930A52">
        <w:rPr>
          <w:sz w:val="28"/>
          <w:szCs w:val="28"/>
        </w:rPr>
        <w:t xml:space="preserve"> </w:t>
      </w:r>
      <w:r w:rsidR="009065B3">
        <w:rPr>
          <w:sz w:val="28"/>
          <w:szCs w:val="28"/>
        </w:rPr>
        <w:t>230</w:t>
      </w:r>
      <w:r w:rsidR="00930A52">
        <w:rPr>
          <w:sz w:val="28"/>
          <w:szCs w:val="28"/>
        </w:rPr>
        <w:t xml:space="preserve"> человек, что на 1</w:t>
      </w:r>
      <w:r w:rsidR="005A7AD2">
        <w:rPr>
          <w:sz w:val="28"/>
          <w:szCs w:val="28"/>
        </w:rPr>
        <w:t>1</w:t>
      </w:r>
      <w:r w:rsidR="009065B3">
        <w:rPr>
          <w:sz w:val="28"/>
          <w:szCs w:val="28"/>
        </w:rPr>
        <w:t>4</w:t>
      </w:r>
      <w:r w:rsidR="00930A52">
        <w:rPr>
          <w:sz w:val="28"/>
          <w:szCs w:val="28"/>
        </w:rPr>
        <w:t xml:space="preserve"> человек </w:t>
      </w:r>
      <w:r w:rsidR="005A7AD2">
        <w:rPr>
          <w:sz w:val="28"/>
          <w:szCs w:val="28"/>
        </w:rPr>
        <w:t>мен</w:t>
      </w:r>
      <w:r w:rsidR="00930A52">
        <w:rPr>
          <w:sz w:val="28"/>
          <w:szCs w:val="28"/>
        </w:rPr>
        <w:t>ьше, чем</w:t>
      </w:r>
      <w:r w:rsidR="005A7AD2">
        <w:rPr>
          <w:sz w:val="28"/>
          <w:szCs w:val="28"/>
        </w:rPr>
        <w:t xml:space="preserve"> на конец</w:t>
      </w:r>
      <w:r w:rsidR="009065B3">
        <w:rPr>
          <w:sz w:val="28"/>
          <w:szCs w:val="28"/>
        </w:rPr>
        <w:t xml:space="preserve"> марта </w:t>
      </w:r>
      <w:r w:rsidR="00930A52">
        <w:rPr>
          <w:sz w:val="28"/>
          <w:szCs w:val="28"/>
        </w:rPr>
        <w:t xml:space="preserve"> 20</w:t>
      </w:r>
      <w:r w:rsidR="005A7AD2">
        <w:rPr>
          <w:sz w:val="28"/>
          <w:szCs w:val="28"/>
        </w:rPr>
        <w:t>2</w:t>
      </w:r>
      <w:r w:rsidR="009065B3">
        <w:rPr>
          <w:sz w:val="28"/>
          <w:szCs w:val="28"/>
        </w:rPr>
        <w:t>1</w:t>
      </w:r>
      <w:r w:rsidR="00930A52">
        <w:rPr>
          <w:sz w:val="28"/>
          <w:szCs w:val="28"/>
        </w:rPr>
        <w:t xml:space="preserve"> год</w:t>
      </w:r>
      <w:r w:rsidR="005A7AD2">
        <w:rPr>
          <w:sz w:val="28"/>
          <w:szCs w:val="28"/>
        </w:rPr>
        <w:t>а</w:t>
      </w:r>
      <w:r w:rsidR="00930A52">
        <w:rPr>
          <w:sz w:val="28"/>
          <w:szCs w:val="28"/>
        </w:rPr>
        <w:t>.</w:t>
      </w:r>
    </w:p>
    <w:p w:rsidR="0089741A" w:rsidRPr="0057023E" w:rsidRDefault="0089741A" w:rsidP="00755F48">
      <w:pPr>
        <w:spacing w:before="60"/>
        <w:ind w:firstLine="567"/>
        <w:jc w:val="both"/>
        <w:rPr>
          <w:sz w:val="28"/>
          <w:szCs w:val="28"/>
        </w:rPr>
      </w:pP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110E"/>
    <w:rsid w:val="00124E7B"/>
    <w:rsid w:val="001321E8"/>
    <w:rsid w:val="00151FE7"/>
    <w:rsid w:val="00175C45"/>
    <w:rsid w:val="00190055"/>
    <w:rsid w:val="0019181A"/>
    <w:rsid w:val="001A1E70"/>
    <w:rsid w:val="001A3EF4"/>
    <w:rsid w:val="001A72B0"/>
    <w:rsid w:val="001C718B"/>
    <w:rsid w:val="001E4878"/>
    <w:rsid w:val="001E5EC8"/>
    <w:rsid w:val="001E7691"/>
    <w:rsid w:val="001F07E1"/>
    <w:rsid w:val="00215072"/>
    <w:rsid w:val="00216117"/>
    <w:rsid w:val="00224F91"/>
    <w:rsid w:val="00226816"/>
    <w:rsid w:val="002551C9"/>
    <w:rsid w:val="00271376"/>
    <w:rsid w:val="00273227"/>
    <w:rsid w:val="00275C78"/>
    <w:rsid w:val="002966D3"/>
    <w:rsid w:val="002A7796"/>
    <w:rsid w:val="002C46D2"/>
    <w:rsid w:val="002D295D"/>
    <w:rsid w:val="002E43C5"/>
    <w:rsid w:val="00302CF8"/>
    <w:rsid w:val="00303879"/>
    <w:rsid w:val="00350028"/>
    <w:rsid w:val="00350E08"/>
    <w:rsid w:val="0035155C"/>
    <w:rsid w:val="003529C6"/>
    <w:rsid w:val="00367063"/>
    <w:rsid w:val="003777B5"/>
    <w:rsid w:val="003B42FB"/>
    <w:rsid w:val="003C4536"/>
    <w:rsid w:val="003C5ECB"/>
    <w:rsid w:val="0043073F"/>
    <w:rsid w:val="004307E7"/>
    <w:rsid w:val="0043763E"/>
    <w:rsid w:val="004508C2"/>
    <w:rsid w:val="004568EE"/>
    <w:rsid w:val="004D778E"/>
    <w:rsid w:val="00503D52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C4574"/>
    <w:rsid w:val="005C7B00"/>
    <w:rsid w:val="00603006"/>
    <w:rsid w:val="00603063"/>
    <w:rsid w:val="006131B1"/>
    <w:rsid w:val="006379B3"/>
    <w:rsid w:val="0065545B"/>
    <w:rsid w:val="0068379A"/>
    <w:rsid w:val="00694867"/>
    <w:rsid w:val="00696BBB"/>
    <w:rsid w:val="006A0F76"/>
    <w:rsid w:val="006D0449"/>
    <w:rsid w:val="006F0F0C"/>
    <w:rsid w:val="00704DF8"/>
    <w:rsid w:val="007336AF"/>
    <w:rsid w:val="00755413"/>
    <w:rsid w:val="00755F48"/>
    <w:rsid w:val="00763403"/>
    <w:rsid w:val="00785E69"/>
    <w:rsid w:val="007C6C16"/>
    <w:rsid w:val="007D358E"/>
    <w:rsid w:val="007E5D77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053F0"/>
    <w:rsid w:val="009065B3"/>
    <w:rsid w:val="00930A52"/>
    <w:rsid w:val="009351F4"/>
    <w:rsid w:val="00944B36"/>
    <w:rsid w:val="00950414"/>
    <w:rsid w:val="00954AA3"/>
    <w:rsid w:val="009552F9"/>
    <w:rsid w:val="00973377"/>
    <w:rsid w:val="009B0121"/>
    <w:rsid w:val="009C0CB2"/>
    <w:rsid w:val="009C3060"/>
    <w:rsid w:val="009C5D17"/>
    <w:rsid w:val="009E06B8"/>
    <w:rsid w:val="009F2573"/>
    <w:rsid w:val="00A0602D"/>
    <w:rsid w:val="00A1447C"/>
    <w:rsid w:val="00A16C85"/>
    <w:rsid w:val="00A2088B"/>
    <w:rsid w:val="00A730FA"/>
    <w:rsid w:val="00A73DFC"/>
    <w:rsid w:val="00AC25CF"/>
    <w:rsid w:val="00AD3C22"/>
    <w:rsid w:val="00AE3093"/>
    <w:rsid w:val="00B1241D"/>
    <w:rsid w:val="00B13771"/>
    <w:rsid w:val="00B30FBC"/>
    <w:rsid w:val="00B32564"/>
    <w:rsid w:val="00B6107A"/>
    <w:rsid w:val="00B72038"/>
    <w:rsid w:val="00B732CC"/>
    <w:rsid w:val="00B86DB1"/>
    <w:rsid w:val="00B91DE2"/>
    <w:rsid w:val="00BA4A5B"/>
    <w:rsid w:val="00C15564"/>
    <w:rsid w:val="00C60E6F"/>
    <w:rsid w:val="00C61786"/>
    <w:rsid w:val="00C66AE0"/>
    <w:rsid w:val="00C738D9"/>
    <w:rsid w:val="00CA24D9"/>
    <w:rsid w:val="00CE503A"/>
    <w:rsid w:val="00CE5F6D"/>
    <w:rsid w:val="00D31AD5"/>
    <w:rsid w:val="00D45BE2"/>
    <w:rsid w:val="00D8353A"/>
    <w:rsid w:val="00D86B84"/>
    <w:rsid w:val="00D90799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C4A46"/>
    <w:rsid w:val="00EF2946"/>
    <w:rsid w:val="00F04A08"/>
    <w:rsid w:val="00F05672"/>
    <w:rsid w:val="00F17AD4"/>
    <w:rsid w:val="00F27B1B"/>
    <w:rsid w:val="00F344FA"/>
    <w:rsid w:val="00F42D85"/>
    <w:rsid w:val="00F57492"/>
    <w:rsid w:val="00F64258"/>
    <w:rsid w:val="00F66D2D"/>
    <w:rsid w:val="00F77F2D"/>
    <w:rsid w:val="00F84F3C"/>
    <w:rsid w:val="00F91DEA"/>
    <w:rsid w:val="00FA769A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4871-6C7E-457C-8EEA-9CAE6F6F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14</cp:revision>
  <dcterms:created xsi:type="dcterms:W3CDTF">2021-05-31T11:30:00Z</dcterms:created>
  <dcterms:modified xsi:type="dcterms:W3CDTF">2022-05-12T07:31:00Z</dcterms:modified>
</cp:coreProperties>
</file>