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273227">
        <w:rPr>
          <w:b/>
          <w:sz w:val="28"/>
          <w:szCs w:val="28"/>
        </w:rPr>
        <w:t>Социально-экономическое положение Холмогорского м</w:t>
      </w:r>
      <w:r w:rsidR="003C4536">
        <w:rPr>
          <w:b/>
          <w:sz w:val="28"/>
          <w:szCs w:val="28"/>
        </w:rPr>
        <w:t xml:space="preserve">униципального района за </w:t>
      </w:r>
      <w:r w:rsidR="00D31AD5">
        <w:rPr>
          <w:b/>
          <w:sz w:val="28"/>
          <w:szCs w:val="28"/>
        </w:rPr>
        <w:t>2018 год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00076B" w:rsidRPr="00275C78" w:rsidRDefault="0000076B" w:rsidP="0000076B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275C78">
        <w:rPr>
          <w:rFonts w:eastAsia="Calibri"/>
          <w:color w:val="000000"/>
          <w:sz w:val="28"/>
          <w:szCs w:val="28"/>
        </w:rPr>
        <w:t xml:space="preserve">Численность постоянного населения Холмогорского муниципального района </w:t>
      </w:r>
      <w:r w:rsidR="00F66D2D">
        <w:rPr>
          <w:rFonts w:eastAsia="Calibri"/>
          <w:color w:val="000000"/>
          <w:sz w:val="28"/>
          <w:szCs w:val="28"/>
        </w:rPr>
        <w:t xml:space="preserve">на 1 января </w:t>
      </w:r>
      <w:r>
        <w:rPr>
          <w:rFonts w:eastAsia="Calibri"/>
          <w:color w:val="000000"/>
          <w:sz w:val="28"/>
          <w:szCs w:val="28"/>
        </w:rPr>
        <w:t>2018</w:t>
      </w:r>
      <w:r w:rsidRPr="00275C78">
        <w:rPr>
          <w:rFonts w:eastAsia="Calibri"/>
          <w:color w:val="000000"/>
          <w:sz w:val="28"/>
          <w:szCs w:val="28"/>
        </w:rPr>
        <w:t xml:space="preserve"> год</w:t>
      </w:r>
      <w:r w:rsidR="00C61786">
        <w:rPr>
          <w:rFonts w:eastAsia="Calibri"/>
          <w:color w:val="000000"/>
          <w:sz w:val="28"/>
          <w:szCs w:val="28"/>
        </w:rPr>
        <w:t>а</w:t>
      </w:r>
      <w:r w:rsidRPr="00275C78">
        <w:rPr>
          <w:rFonts w:eastAsia="Calibri"/>
          <w:color w:val="000000"/>
          <w:sz w:val="28"/>
          <w:szCs w:val="28"/>
        </w:rPr>
        <w:t xml:space="preserve"> составила 20327 человек. </w:t>
      </w:r>
    </w:p>
    <w:p w:rsidR="0000076B" w:rsidRDefault="0000076B" w:rsidP="0000076B">
      <w:pPr>
        <w:widowControl w:val="0"/>
        <w:tabs>
          <w:tab w:val="left" w:pos="2410"/>
        </w:tabs>
        <w:suppressAutoHyphens/>
        <w:ind w:firstLine="836"/>
        <w:jc w:val="both"/>
        <w:rPr>
          <w:rFonts w:eastAsia="Andale Sans UI"/>
          <w:kern w:val="1"/>
          <w:sz w:val="28"/>
          <w:szCs w:val="28"/>
        </w:rPr>
      </w:pPr>
      <w:r w:rsidRPr="00275C78">
        <w:rPr>
          <w:rFonts w:eastAsia="Andale Sans UI"/>
          <w:kern w:val="1"/>
          <w:sz w:val="28"/>
          <w:szCs w:val="28"/>
        </w:rPr>
        <w:t xml:space="preserve">За </w:t>
      </w:r>
      <w:r w:rsidR="00273227">
        <w:rPr>
          <w:rFonts w:eastAsia="Andale Sans UI"/>
          <w:kern w:val="1"/>
          <w:sz w:val="28"/>
          <w:szCs w:val="28"/>
        </w:rPr>
        <w:t>январь-</w:t>
      </w:r>
      <w:r w:rsidR="003B42FB">
        <w:rPr>
          <w:rFonts w:eastAsia="Andale Sans UI"/>
          <w:kern w:val="1"/>
          <w:sz w:val="28"/>
          <w:szCs w:val="28"/>
        </w:rPr>
        <w:t>август</w:t>
      </w:r>
      <w:r>
        <w:rPr>
          <w:rFonts w:eastAsia="Andale Sans UI"/>
          <w:kern w:val="1"/>
          <w:sz w:val="28"/>
          <w:szCs w:val="28"/>
        </w:rPr>
        <w:t xml:space="preserve"> 2018 года </w:t>
      </w:r>
      <w:r w:rsidRPr="00275C78">
        <w:rPr>
          <w:rFonts w:eastAsia="Andale Sans UI"/>
          <w:kern w:val="1"/>
          <w:sz w:val="28"/>
          <w:szCs w:val="28"/>
        </w:rPr>
        <w:t xml:space="preserve">численность населения района сократилась на </w:t>
      </w:r>
      <w:r w:rsidR="003B42FB">
        <w:rPr>
          <w:rFonts w:eastAsia="Andale Sans UI"/>
          <w:kern w:val="1"/>
          <w:sz w:val="28"/>
          <w:szCs w:val="28"/>
        </w:rPr>
        <w:t>239</w:t>
      </w:r>
      <w:r w:rsidR="00F66D2D">
        <w:rPr>
          <w:rFonts w:eastAsia="Andale Sans UI"/>
          <w:kern w:val="1"/>
          <w:sz w:val="28"/>
          <w:szCs w:val="28"/>
        </w:rPr>
        <w:t xml:space="preserve"> человек, и составила 20</w:t>
      </w:r>
      <w:r w:rsidR="003B42FB">
        <w:rPr>
          <w:rFonts w:eastAsia="Andale Sans UI"/>
          <w:kern w:val="1"/>
          <w:sz w:val="28"/>
          <w:szCs w:val="28"/>
        </w:rPr>
        <w:t>088</w:t>
      </w:r>
      <w:r w:rsidR="00F66D2D">
        <w:rPr>
          <w:rFonts w:eastAsia="Andale Sans UI"/>
          <w:kern w:val="1"/>
          <w:sz w:val="28"/>
          <w:szCs w:val="28"/>
        </w:rPr>
        <w:t xml:space="preserve"> человек по состоянию на 1 </w:t>
      </w:r>
      <w:r w:rsidR="003B42FB">
        <w:rPr>
          <w:rFonts w:eastAsia="Andale Sans UI"/>
          <w:kern w:val="1"/>
          <w:sz w:val="28"/>
          <w:szCs w:val="28"/>
        </w:rPr>
        <w:t>сентября</w:t>
      </w:r>
      <w:r w:rsidR="00F66D2D">
        <w:rPr>
          <w:rFonts w:eastAsia="Andale Sans UI"/>
          <w:kern w:val="1"/>
          <w:sz w:val="28"/>
          <w:szCs w:val="28"/>
        </w:rPr>
        <w:t xml:space="preserve"> 2018 года.</w:t>
      </w:r>
      <w:r w:rsidRPr="00275C78">
        <w:rPr>
          <w:rFonts w:eastAsia="Andale Sans UI"/>
          <w:kern w:val="1"/>
          <w:sz w:val="28"/>
          <w:szCs w:val="28"/>
        </w:rPr>
        <w:t xml:space="preserve"> </w:t>
      </w:r>
    </w:p>
    <w:p w:rsidR="0000076B" w:rsidRPr="00275C78" w:rsidRDefault="0000076B" w:rsidP="0000076B">
      <w:pPr>
        <w:widowControl w:val="0"/>
        <w:tabs>
          <w:tab w:val="left" w:pos="2410"/>
        </w:tabs>
        <w:suppressAutoHyphens/>
        <w:ind w:firstLine="836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За январь-</w:t>
      </w:r>
      <w:r w:rsidR="003B42FB">
        <w:rPr>
          <w:sz w:val="28"/>
          <w:szCs w:val="28"/>
        </w:rPr>
        <w:t>август</w:t>
      </w:r>
      <w:r w:rsidR="00C61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года </w:t>
      </w:r>
      <w:r w:rsidRPr="00275C78">
        <w:rPr>
          <w:sz w:val="28"/>
          <w:szCs w:val="28"/>
        </w:rPr>
        <w:t xml:space="preserve">родилось </w:t>
      </w:r>
      <w:r w:rsidR="003B42FB">
        <w:rPr>
          <w:sz w:val="28"/>
          <w:szCs w:val="28"/>
        </w:rPr>
        <w:t>142</w:t>
      </w:r>
      <w:r w:rsidRPr="00275C78">
        <w:rPr>
          <w:sz w:val="28"/>
          <w:szCs w:val="28"/>
        </w:rPr>
        <w:t xml:space="preserve"> </w:t>
      </w:r>
      <w:r w:rsidR="00694867">
        <w:rPr>
          <w:sz w:val="28"/>
          <w:szCs w:val="28"/>
        </w:rPr>
        <w:t>человек</w:t>
      </w:r>
      <w:r w:rsidR="003B42FB">
        <w:rPr>
          <w:sz w:val="28"/>
          <w:szCs w:val="28"/>
        </w:rPr>
        <w:t>а</w:t>
      </w:r>
      <w:r w:rsidRPr="00275C78">
        <w:rPr>
          <w:sz w:val="28"/>
          <w:szCs w:val="28"/>
        </w:rPr>
        <w:t xml:space="preserve"> (</w:t>
      </w:r>
      <w:r w:rsidR="00D31AD5">
        <w:rPr>
          <w:sz w:val="28"/>
          <w:szCs w:val="28"/>
        </w:rPr>
        <w:t xml:space="preserve">в </w:t>
      </w:r>
      <w:r w:rsidRPr="00275C7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75C78">
        <w:rPr>
          <w:sz w:val="28"/>
          <w:szCs w:val="28"/>
        </w:rPr>
        <w:t xml:space="preserve"> году – </w:t>
      </w:r>
      <w:r w:rsidR="003B42FB">
        <w:rPr>
          <w:sz w:val="28"/>
          <w:szCs w:val="28"/>
        </w:rPr>
        <w:t>148</w:t>
      </w:r>
      <w:r>
        <w:rPr>
          <w:sz w:val="28"/>
          <w:szCs w:val="28"/>
        </w:rPr>
        <w:t xml:space="preserve">). </w:t>
      </w:r>
      <w:r w:rsidRPr="00275C78">
        <w:rPr>
          <w:rFonts w:eastAsia="Calibri"/>
          <w:color w:val="000000"/>
          <w:sz w:val="28"/>
          <w:szCs w:val="28"/>
        </w:rPr>
        <w:t xml:space="preserve">Количество </w:t>
      </w:r>
      <w:proofErr w:type="gramStart"/>
      <w:r w:rsidRPr="00275C78">
        <w:rPr>
          <w:rFonts w:eastAsia="Calibri"/>
          <w:color w:val="000000"/>
          <w:sz w:val="28"/>
          <w:szCs w:val="28"/>
        </w:rPr>
        <w:t>умерших</w:t>
      </w:r>
      <w:proofErr w:type="gramEnd"/>
      <w:r>
        <w:rPr>
          <w:rFonts w:eastAsia="Calibri"/>
          <w:color w:val="000000"/>
          <w:sz w:val="28"/>
          <w:szCs w:val="28"/>
        </w:rPr>
        <w:t xml:space="preserve"> составило </w:t>
      </w:r>
      <w:r w:rsidR="003B42FB">
        <w:rPr>
          <w:rFonts w:eastAsia="Calibri"/>
          <w:color w:val="000000"/>
          <w:sz w:val="28"/>
          <w:szCs w:val="28"/>
        </w:rPr>
        <w:t>266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275C78">
        <w:rPr>
          <w:rFonts w:eastAsia="Calibri"/>
          <w:color w:val="000000"/>
          <w:sz w:val="28"/>
          <w:szCs w:val="28"/>
        </w:rPr>
        <w:t>человек</w:t>
      </w:r>
      <w:r>
        <w:rPr>
          <w:rFonts w:eastAsia="Calibri"/>
          <w:color w:val="000000"/>
          <w:sz w:val="28"/>
          <w:szCs w:val="28"/>
        </w:rPr>
        <w:t>а</w:t>
      </w:r>
      <w:r w:rsidRPr="00275C78">
        <w:rPr>
          <w:rFonts w:eastAsia="Calibri"/>
          <w:color w:val="000000"/>
          <w:sz w:val="28"/>
          <w:szCs w:val="28"/>
        </w:rPr>
        <w:t xml:space="preserve"> (в 201</w:t>
      </w:r>
      <w:r>
        <w:rPr>
          <w:rFonts w:eastAsia="Calibri"/>
          <w:color w:val="000000"/>
          <w:sz w:val="28"/>
          <w:szCs w:val="28"/>
        </w:rPr>
        <w:t>7</w:t>
      </w:r>
      <w:r w:rsidRPr="00275C78">
        <w:rPr>
          <w:rFonts w:eastAsia="Calibri"/>
          <w:color w:val="000000"/>
          <w:sz w:val="28"/>
          <w:szCs w:val="28"/>
        </w:rPr>
        <w:t xml:space="preserve"> год - </w:t>
      </w:r>
      <w:r w:rsidR="003B42FB">
        <w:rPr>
          <w:rFonts w:eastAsia="Calibri"/>
          <w:color w:val="000000"/>
          <w:sz w:val="28"/>
          <w:szCs w:val="28"/>
        </w:rPr>
        <w:t>289</w:t>
      </w:r>
      <w:r w:rsidRPr="00275C78">
        <w:rPr>
          <w:rFonts w:eastAsia="Calibri"/>
          <w:color w:val="000000"/>
          <w:sz w:val="28"/>
          <w:szCs w:val="28"/>
        </w:rPr>
        <w:t xml:space="preserve">). </w:t>
      </w:r>
    </w:p>
    <w:p w:rsidR="00F17AD4" w:rsidRDefault="0000076B" w:rsidP="00273227">
      <w:pPr>
        <w:ind w:firstLine="836"/>
        <w:jc w:val="both"/>
        <w:rPr>
          <w:sz w:val="28"/>
          <w:szCs w:val="28"/>
        </w:rPr>
      </w:pPr>
      <w:r w:rsidRPr="00275C78">
        <w:rPr>
          <w:sz w:val="28"/>
          <w:szCs w:val="28"/>
        </w:rPr>
        <w:t xml:space="preserve">За </w:t>
      </w:r>
      <w:r w:rsidR="00694867">
        <w:rPr>
          <w:sz w:val="28"/>
          <w:szCs w:val="28"/>
        </w:rPr>
        <w:t>январь-</w:t>
      </w:r>
      <w:r w:rsidR="003B42FB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2018 г. </w:t>
      </w:r>
      <w:r w:rsidRPr="00275C78">
        <w:rPr>
          <w:sz w:val="28"/>
          <w:szCs w:val="28"/>
        </w:rPr>
        <w:t xml:space="preserve">общая миграционная убыль составила </w:t>
      </w:r>
      <w:r w:rsidR="003B42FB">
        <w:rPr>
          <w:sz w:val="28"/>
          <w:szCs w:val="28"/>
        </w:rPr>
        <w:t>115</w:t>
      </w:r>
      <w:r w:rsidRPr="00275C78">
        <w:rPr>
          <w:sz w:val="28"/>
          <w:szCs w:val="28"/>
        </w:rPr>
        <w:t xml:space="preserve"> человек</w:t>
      </w:r>
      <w:r w:rsidR="00694867">
        <w:rPr>
          <w:sz w:val="28"/>
          <w:szCs w:val="28"/>
        </w:rPr>
        <w:t>, по сравнению с 2017</w:t>
      </w:r>
      <w:r w:rsidRPr="00275C78">
        <w:rPr>
          <w:sz w:val="28"/>
          <w:szCs w:val="28"/>
        </w:rPr>
        <w:t xml:space="preserve"> годом </w:t>
      </w:r>
      <w:r w:rsidR="00694867">
        <w:rPr>
          <w:sz w:val="28"/>
          <w:szCs w:val="28"/>
        </w:rPr>
        <w:t>у</w:t>
      </w:r>
      <w:r w:rsidR="003B42FB">
        <w:rPr>
          <w:sz w:val="28"/>
          <w:szCs w:val="28"/>
        </w:rPr>
        <w:t>величилась</w:t>
      </w:r>
      <w:r w:rsidR="00694867">
        <w:rPr>
          <w:sz w:val="28"/>
          <w:szCs w:val="28"/>
        </w:rPr>
        <w:t xml:space="preserve"> на </w:t>
      </w:r>
      <w:r w:rsidR="003B42FB">
        <w:rPr>
          <w:sz w:val="28"/>
          <w:szCs w:val="28"/>
        </w:rPr>
        <w:t>28</w:t>
      </w:r>
      <w:r w:rsidRPr="00275C78">
        <w:rPr>
          <w:sz w:val="28"/>
          <w:szCs w:val="28"/>
        </w:rPr>
        <w:t xml:space="preserve"> человек.</w:t>
      </w:r>
      <w:r w:rsidR="00273227" w:rsidRPr="00273227">
        <w:t xml:space="preserve"> </w:t>
      </w:r>
    </w:p>
    <w:p w:rsidR="003777B5" w:rsidRDefault="003777B5" w:rsidP="00755413">
      <w:pPr>
        <w:ind w:firstLine="836"/>
        <w:jc w:val="both"/>
        <w:rPr>
          <w:sz w:val="28"/>
          <w:szCs w:val="28"/>
        </w:rPr>
      </w:pPr>
      <w:r w:rsidRPr="003777B5">
        <w:rPr>
          <w:sz w:val="28"/>
          <w:szCs w:val="28"/>
        </w:rPr>
        <w:t>По данным территориального раздела Статистического регистра Росстата на 1 января 2019 года количество предприятий и организаций на территории муниципального района составило 239 единиц.</w:t>
      </w:r>
    </w:p>
    <w:p w:rsidR="00755413" w:rsidRPr="00755413" w:rsidRDefault="00755413" w:rsidP="00755413">
      <w:pPr>
        <w:ind w:firstLine="836"/>
        <w:jc w:val="both"/>
        <w:rPr>
          <w:sz w:val="28"/>
          <w:szCs w:val="28"/>
        </w:rPr>
      </w:pPr>
      <w:r w:rsidRPr="00755413">
        <w:rPr>
          <w:sz w:val="28"/>
          <w:szCs w:val="28"/>
        </w:rPr>
        <w:t>Частная форма собственности органи</w:t>
      </w:r>
      <w:r>
        <w:rPr>
          <w:sz w:val="28"/>
          <w:szCs w:val="28"/>
        </w:rPr>
        <w:t>заций является преобладающей (</w:t>
      </w:r>
      <w:r w:rsidR="003777B5">
        <w:rPr>
          <w:sz w:val="28"/>
          <w:szCs w:val="28"/>
        </w:rPr>
        <w:t>56</w:t>
      </w:r>
      <w:r w:rsidR="00271376">
        <w:rPr>
          <w:sz w:val="28"/>
          <w:szCs w:val="28"/>
        </w:rPr>
        <w:t>,</w:t>
      </w:r>
      <w:r w:rsidR="003777B5">
        <w:rPr>
          <w:sz w:val="28"/>
          <w:szCs w:val="28"/>
        </w:rPr>
        <w:t>9</w:t>
      </w:r>
      <w:r w:rsidRPr="00755413">
        <w:rPr>
          <w:sz w:val="28"/>
          <w:szCs w:val="28"/>
        </w:rPr>
        <w:t xml:space="preserve"> %). Доля организаций муниципальной фор</w:t>
      </w:r>
      <w:r>
        <w:rPr>
          <w:sz w:val="28"/>
          <w:szCs w:val="28"/>
        </w:rPr>
        <w:t>мы собственности составляет 17</w:t>
      </w:r>
      <w:r w:rsidR="003777B5">
        <w:rPr>
          <w:sz w:val="28"/>
          <w:szCs w:val="28"/>
        </w:rPr>
        <w:t>,2</w:t>
      </w:r>
      <w:r w:rsidRPr="00755413">
        <w:rPr>
          <w:sz w:val="28"/>
          <w:szCs w:val="28"/>
        </w:rPr>
        <w:t xml:space="preserve"> %, организации государст</w:t>
      </w:r>
      <w:r>
        <w:rPr>
          <w:sz w:val="28"/>
          <w:szCs w:val="28"/>
        </w:rPr>
        <w:t>венной формы собственности – 9,</w:t>
      </w:r>
      <w:r w:rsidR="003777B5">
        <w:rPr>
          <w:sz w:val="28"/>
          <w:szCs w:val="28"/>
        </w:rPr>
        <w:t>6</w:t>
      </w:r>
      <w:r w:rsidRPr="00755413">
        <w:rPr>
          <w:sz w:val="28"/>
          <w:szCs w:val="28"/>
        </w:rPr>
        <w:t xml:space="preserve"> %.</w:t>
      </w:r>
    </w:p>
    <w:p w:rsidR="00755413" w:rsidRPr="00755413" w:rsidRDefault="00755413" w:rsidP="00755413">
      <w:pPr>
        <w:ind w:firstLine="836"/>
        <w:jc w:val="both"/>
        <w:rPr>
          <w:sz w:val="28"/>
          <w:szCs w:val="28"/>
        </w:rPr>
      </w:pPr>
      <w:r w:rsidRPr="00755413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755413" w:rsidRDefault="00755413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1376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3777B5">
        <w:rPr>
          <w:sz w:val="28"/>
          <w:szCs w:val="28"/>
        </w:rPr>
        <w:t>4</w:t>
      </w:r>
      <w:r w:rsidRPr="00755413">
        <w:rPr>
          <w:sz w:val="28"/>
          <w:szCs w:val="28"/>
        </w:rPr>
        <w:t xml:space="preserve"> % – сельское хозяйство, охота и лесное хозяйство;</w:t>
      </w:r>
    </w:p>
    <w:p w:rsidR="00F344FA" w:rsidRDefault="00E1340B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13,</w:t>
      </w:r>
      <w:r w:rsidR="003777B5">
        <w:rPr>
          <w:sz w:val="28"/>
          <w:szCs w:val="28"/>
        </w:rPr>
        <w:t>4</w:t>
      </w:r>
      <w:r w:rsidR="00755413" w:rsidRPr="00755413">
        <w:rPr>
          <w:sz w:val="28"/>
          <w:szCs w:val="28"/>
        </w:rPr>
        <w:t xml:space="preserve"> % – государственное управление и обеспечение военной безопасности;</w:t>
      </w:r>
      <w:r w:rsidR="003777B5">
        <w:rPr>
          <w:sz w:val="28"/>
          <w:szCs w:val="28"/>
        </w:rPr>
        <w:t xml:space="preserve"> социальное обеспечение;</w:t>
      </w:r>
      <w:r w:rsidR="003777B5" w:rsidRPr="003777B5">
        <w:rPr>
          <w:sz w:val="28"/>
          <w:szCs w:val="28"/>
        </w:rPr>
        <w:t xml:space="preserve"> </w:t>
      </w:r>
    </w:p>
    <w:p w:rsidR="00755413" w:rsidRPr="00755413" w:rsidRDefault="003777B5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11,7</w:t>
      </w:r>
      <w:r w:rsidRPr="00755413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 – оптовая и розничная торговля; ремонт автотранспортных средств и мотоциклов;</w:t>
      </w:r>
    </w:p>
    <w:p w:rsidR="00755413" w:rsidRPr="00755413" w:rsidRDefault="003777B5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11,3</w:t>
      </w:r>
      <w:r w:rsidR="00755413" w:rsidRPr="00755413">
        <w:rPr>
          <w:sz w:val="28"/>
          <w:szCs w:val="28"/>
        </w:rPr>
        <w:t xml:space="preserve"> % – о</w:t>
      </w:r>
      <w:r>
        <w:rPr>
          <w:sz w:val="28"/>
          <w:szCs w:val="28"/>
        </w:rPr>
        <w:t>перации с недвижимым имуществом.</w:t>
      </w:r>
    </w:p>
    <w:p w:rsidR="00AD3C22" w:rsidRDefault="00AD3C22" w:rsidP="00AD3C22">
      <w:pPr>
        <w:jc w:val="both"/>
        <w:rPr>
          <w:sz w:val="28"/>
          <w:szCs w:val="28"/>
        </w:rPr>
      </w:pPr>
      <w:bookmarkStart w:id="0" w:name="_Toc520290998"/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В % к</w:t>
            </w: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2017г.</w:t>
            </w:r>
          </w:p>
        </w:tc>
      </w:tr>
      <w:tr w:rsidR="00271376" w:rsidRPr="009552F9" w:rsidTr="00271376">
        <w:trPr>
          <w:cantSplit/>
          <w:trHeight w:val="316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2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111,0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15089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83,6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25987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104,9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9552F9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125,4</w:t>
            </w:r>
          </w:p>
        </w:tc>
      </w:tr>
      <w:tr w:rsidR="00552699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699" w:rsidRPr="009552F9" w:rsidRDefault="00552699" w:rsidP="0055269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продукции сельского хозяйства в хозяйствах всех категорий,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699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699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134,3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lastRenderedPageBreak/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 xml:space="preserve">в 1,6 </w:t>
            </w:r>
            <w:r w:rsidR="00271376" w:rsidRPr="00BA4A5B">
              <w:rPr>
                <w:rStyle w:val="a8"/>
                <w:rFonts w:ascii="Times New Roman" w:hAnsi="Times New Roman"/>
                <w:sz w:val="22"/>
                <w:szCs w:val="22"/>
              </w:rPr>
              <w:t>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55269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94,</w:t>
            </w:r>
            <w:r w:rsidR="00552699">
              <w:rPr>
                <w:rStyle w:val="a8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136,7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94,4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336AF" w:rsidRDefault="00552699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69297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336AF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130,5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розничной торговли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proofErr w:type="gramStart"/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778938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111,5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общественного питания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proofErr w:type="gramStart"/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18226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104,1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Объем платных услуг населению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proofErr w:type="gramStart"/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78820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99,8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Ввод в действие жилых домов</w:t>
            </w:r>
            <w:r w:rsidRPr="00BA4A5B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BA4A5B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BA4A5B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A4A5B">
              <w:rPr>
                <w:color w:val="000000"/>
                <w:sz w:val="24"/>
                <w:szCs w:val="24"/>
              </w:rPr>
              <w:t xml:space="preserve"> общей площади</w:t>
            </w:r>
            <w:r w:rsidR="00552699">
              <w:rPr>
                <w:color w:val="000000"/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1,8р.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7336AF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>
              <w:rPr>
                <w:spacing w:val="-2"/>
                <w:sz w:val="24"/>
                <w:szCs w:val="24"/>
                <w:vertAlign w:val="superscript"/>
              </w:rPr>
              <w:t>)4)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BA4A5B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552699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35</w:t>
            </w:r>
            <w:r w:rsidR="0055269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114,0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552699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101,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7336AF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="00552699">
              <w:rPr>
                <w:spacing w:val="-4"/>
                <w:sz w:val="24"/>
                <w:szCs w:val="24"/>
                <w:vertAlign w:val="superscript"/>
              </w:rPr>
              <w:t>4)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5) 6)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70790,0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 xml:space="preserve">в 1,6 </w:t>
            </w: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proofErr w:type="gramStart"/>
            <w:r w:rsidRPr="00BA4A5B">
              <w:rPr>
                <w:spacing w:val="-3"/>
                <w:sz w:val="24"/>
                <w:szCs w:val="24"/>
                <w:vertAlign w:val="superscript"/>
                <w:lang w:val="en-US"/>
              </w:rPr>
              <w:t>6</w:t>
            </w:r>
            <w:proofErr w:type="gramEnd"/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) </w:t>
            </w:r>
            <w:r w:rsidR="00BA4A5B">
              <w:rPr>
                <w:spacing w:val="-3"/>
                <w:sz w:val="24"/>
                <w:szCs w:val="24"/>
                <w:vertAlign w:val="superscript"/>
              </w:rPr>
              <w:t>7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52309,0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95,7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174500,0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76,5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69,6</w:t>
            </w:r>
          </w:p>
        </w:tc>
      </w:tr>
    </w:tbl>
    <w:p w:rsidR="00552699" w:rsidRPr="00552699" w:rsidRDefault="00552699" w:rsidP="00552699">
      <w:pPr>
        <w:pStyle w:val="aa"/>
        <w:pBdr>
          <w:top w:val="none" w:sz="0" w:space="0" w:color="auto"/>
        </w:pBdr>
        <w:spacing w:before="20" w:line="228" w:lineRule="auto"/>
        <w:ind w:left="142" w:hanging="142"/>
        <w:jc w:val="both"/>
        <w:rPr>
          <w:rFonts w:ascii="Times New Roman" w:hAnsi="Times New Roman"/>
        </w:rPr>
      </w:pPr>
      <w:r w:rsidRPr="00552699">
        <w:rPr>
          <w:rFonts w:ascii="Times New Roman" w:hAnsi="Times New Roman"/>
          <w:vertAlign w:val="superscript"/>
        </w:rPr>
        <w:t>1)</w:t>
      </w:r>
      <w:r w:rsidRPr="00552699">
        <w:rPr>
          <w:rFonts w:ascii="Times New Roman" w:hAnsi="Times New Roman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552699">
        <w:rPr>
          <w:rFonts w:ascii="Times New Roman" w:hAnsi="Times New Roman"/>
          <w:color w:val="0070C0"/>
        </w:rPr>
        <w:t>.</w:t>
      </w:r>
    </w:p>
    <w:p w:rsidR="00552699" w:rsidRPr="00552699" w:rsidRDefault="00552699" w:rsidP="00552699">
      <w:pPr>
        <w:pStyle w:val="aa"/>
        <w:pBdr>
          <w:top w:val="none" w:sz="0" w:space="0" w:color="auto"/>
        </w:pBdr>
        <w:spacing w:line="216" w:lineRule="auto"/>
        <w:ind w:left="142" w:hanging="142"/>
        <w:jc w:val="both"/>
        <w:rPr>
          <w:rFonts w:ascii="Times New Roman" w:hAnsi="Times New Roman"/>
          <w:vertAlign w:val="superscript"/>
        </w:rPr>
      </w:pPr>
      <w:r w:rsidRPr="00552699">
        <w:rPr>
          <w:rFonts w:ascii="Times New Roman" w:hAnsi="Times New Roman"/>
          <w:vertAlign w:val="superscript"/>
        </w:rPr>
        <w:t xml:space="preserve">2)  </w:t>
      </w:r>
      <w:r w:rsidRPr="00552699">
        <w:rPr>
          <w:rFonts w:ascii="Times New Roman" w:hAnsi="Times New Roman"/>
        </w:rPr>
        <w:t>Темпы роста (снижения) рассчитаны п</w:t>
      </w:r>
      <w:r w:rsidRPr="00552699">
        <w:rPr>
          <w:rFonts w:ascii="Times New Roman" w:hAnsi="Times New Roman"/>
          <w:szCs w:val="16"/>
        </w:rPr>
        <w:t>о сопоставимому кругу организаций.</w:t>
      </w:r>
    </w:p>
    <w:p w:rsidR="00552699" w:rsidRPr="00552699" w:rsidRDefault="00552699" w:rsidP="00552699">
      <w:pPr>
        <w:pStyle w:val="aa"/>
        <w:pBdr>
          <w:top w:val="none" w:sz="0" w:space="0" w:color="auto"/>
        </w:pBdr>
        <w:spacing w:line="216" w:lineRule="auto"/>
        <w:ind w:left="142" w:hanging="142"/>
        <w:jc w:val="both"/>
        <w:rPr>
          <w:rFonts w:ascii="Times New Roman" w:hAnsi="Times New Roman"/>
          <w:color w:val="000000"/>
        </w:rPr>
      </w:pPr>
      <w:r w:rsidRPr="00552699">
        <w:rPr>
          <w:rFonts w:ascii="Times New Roman" w:hAnsi="Times New Roman"/>
          <w:vertAlign w:val="superscript"/>
        </w:rPr>
        <w:t>3)</w:t>
      </w:r>
      <w:r w:rsidRPr="00552699">
        <w:rPr>
          <w:rFonts w:ascii="Times New Roman" w:hAnsi="Times New Roman"/>
        </w:rPr>
        <w:t xml:space="preserve"> </w:t>
      </w:r>
      <w:r w:rsidRPr="00552699">
        <w:rPr>
          <w:rStyle w:val="a8"/>
          <w:rFonts w:ascii="Times New Roman" w:hAnsi="Times New Roman"/>
          <w:szCs w:val="16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552699">
        <w:rPr>
          <w:rStyle w:val="a8"/>
          <w:rFonts w:ascii="Times New Roman" w:hAnsi="Times New Roman"/>
          <w:color w:val="0070C0"/>
          <w:szCs w:val="16"/>
        </w:rPr>
        <w:t xml:space="preserve"> </w:t>
      </w:r>
      <w:r w:rsidRPr="00552699">
        <w:rPr>
          <w:rFonts w:ascii="Times New Roman" w:hAnsi="Times New Roman"/>
          <w:color w:val="000000"/>
        </w:rPr>
        <w:t>Январь-сентябрь 2018г., в % к январю-сентябрю 2017г.</w:t>
      </w:r>
    </w:p>
    <w:p w:rsidR="00552699" w:rsidRPr="00552699" w:rsidRDefault="00552699" w:rsidP="0055269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color w:val="000000"/>
        </w:rPr>
      </w:pPr>
      <w:r w:rsidRPr="00552699">
        <w:rPr>
          <w:rFonts w:ascii="Times New Roman" w:hAnsi="Times New Roman"/>
          <w:color w:val="000000"/>
          <w:vertAlign w:val="superscript"/>
        </w:rPr>
        <w:t>4)</w:t>
      </w:r>
      <w:r w:rsidRPr="00552699">
        <w:rPr>
          <w:rFonts w:ascii="Times New Roman" w:hAnsi="Times New Roman"/>
          <w:color w:val="000000"/>
        </w:rPr>
        <w:t xml:space="preserve"> Январь-ноябрь 2018г., в % к январю-ноябрю 2017г., ноябрь 2018г. в % к ноябрю 2017г., в % к октябрю 2018г.</w:t>
      </w:r>
    </w:p>
    <w:p w:rsidR="00552699" w:rsidRPr="00552699" w:rsidRDefault="00552699" w:rsidP="0055269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</w:rPr>
      </w:pPr>
      <w:r w:rsidRPr="00552699">
        <w:rPr>
          <w:rFonts w:ascii="Times New Roman" w:hAnsi="Times New Roman"/>
          <w:vertAlign w:val="superscript"/>
        </w:rPr>
        <w:t>5)</w:t>
      </w:r>
      <w:r w:rsidRPr="00552699">
        <w:rPr>
          <w:rFonts w:ascii="Times New Roman" w:hAnsi="Times New Roman"/>
        </w:rPr>
        <w:t xml:space="preserve"> </w:t>
      </w:r>
      <w:r w:rsidRPr="00552699">
        <w:rPr>
          <w:rFonts w:ascii="Times New Roman" w:hAnsi="Times New Roman"/>
          <w:szCs w:val="16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52699" w:rsidRPr="00552699" w:rsidRDefault="00552699" w:rsidP="0055269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</w:rPr>
      </w:pPr>
      <w:r w:rsidRPr="00552699">
        <w:rPr>
          <w:rFonts w:ascii="Times New Roman" w:hAnsi="Times New Roman"/>
          <w:vertAlign w:val="superscript"/>
        </w:rPr>
        <w:t>6)</w:t>
      </w:r>
      <w:r w:rsidRPr="00552699">
        <w:rPr>
          <w:rFonts w:ascii="Times New Roman" w:hAnsi="Times New Roman"/>
        </w:rPr>
        <w:t xml:space="preserve"> Без субъектов малого предпринимательства, банков, страховых организаций и </w:t>
      </w:r>
      <w:r w:rsidRPr="00552699">
        <w:rPr>
          <w:rFonts w:ascii="Times New Roman" w:hAnsi="Times New Roman"/>
          <w:szCs w:val="16"/>
        </w:rPr>
        <w:t>государственных (муниципальных)</w:t>
      </w:r>
      <w:r w:rsidRPr="00552699">
        <w:rPr>
          <w:rFonts w:ascii="Times New Roman" w:hAnsi="Times New Roman"/>
        </w:rPr>
        <w:t xml:space="preserve"> учреждений.</w:t>
      </w:r>
    </w:p>
    <w:p w:rsidR="00552699" w:rsidRPr="00552699" w:rsidRDefault="00552699" w:rsidP="0055269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</w:rPr>
      </w:pPr>
      <w:r w:rsidRPr="00552699">
        <w:rPr>
          <w:rFonts w:ascii="Times New Roman" w:hAnsi="Times New Roman"/>
          <w:vertAlign w:val="superscript"/>
        </w:rPr>
        <w:t>7)</w:t>
      </w:r>
      <w:r w:rsidRPr="00552699">
        <w:rPr>
          <w:rFonts w:ascii="Times New Roman" w:hAnsi="Times New Roman"/>
        </w:rPr>
        <w:t xml:space="preserve"> На конец ноября 2018г., в % к концу ноября 2017г.</w:t>
      </w:r>
    </w:p>
    <w:p w:rsidR="00552699" w:rsidRPr="00552699" w:rsidRDefault="00552699" w:rsidP="0055269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color w:val="000000"/>
        </w:rPr>
      </w:pPr>
      <w:r w:rsidRPr="00552699">
        <w:rPr>
          <w:rFonts w:ascii="Times New Roman" w:hAnsi="Times New Roman"/>
          <w:vertAlign w:val="superscript"/>
        </w:rPr>
        <w:t xml:space="preserve">8) </w:t>
      </w:r>
      <w:r w:rsidRPr="00552699">
        <w:rPr>
          <w:rFonts w:ascii="Times New Roman" w:hAnsi="Times New Roman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Pr="00552699">
        <w:rPr>
          <w:rFonts w:ascii="Times New Roman" w:hAnsi="Times New Roman"/>
          <w:color w:val="000000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271376" w:rsidRDefault="00271376" w:rsidP="00552699">
      <w:pPr>
        <w:jc w:val="both"/>
        <w:rPr>
          <w:sz w:val="28"/>
          <w:szCs w:val="28"/>
        </w:rPr>
      </w:pPr>
    </w:p>
    <w:p w:rsidR="003C5ECB" w:rsidRDefault="003C5ECB" w:rsidP="00273227">
      <w:pPr>
        <w:ind w:firstLine="836"/>
        <w:jc w:val="both"/>
        <w:rPr>
          <w:sz w:val="28"/>
          <w:szCs w:val="28"/>
        </w:rPr>
      </w:pPr>
      <w:r w:rsidRPr="003C5ECB">
        <w:rPr>
          <w:sz w:val="28"/>
          <w:szCs w:val="28"/>
        </w:rPr>
        <w:t>За 2018 год объем отгруженных товаров собственного производства, выполненных работ и услуг собственными силами организаций</w:t>
      </w:r>
      <w:proofErr w:type="gramStart"/>
      <w:r w:rsidRPr="003C5ECB">
        <w:rPr>
          <w:sz w:val="28"/>
          <w:szCs w:val="28"/>
        </w:rPr>
        <w:t>1</w:t>
      </w:r>
      <w:proofErr w:type="gramEnd"/>
      <w:r w:rsidRPr="003C5ECB">
        <w:rPr>
          <w:sz w:val="28"/>
          <w:szCs w:val="28"/>
        </w:rPr>
        <w:t>) по виду экономической деятельности «Обрабатывающие производства» в действующих ценах составил 15089 тыс. рублей, «Обеспечение электрической энергией, газом и паром; кондиционирование воздуха» – 25987 тыс. рублей.</w:t>
      </w:r>
    </w:p>
    <w:p w:rsidR="00273227" w:rsidRPr="00273227" w:rsidRDefault="00273227" w:rsidP="00273227">
      <w:pPr>
        <w:ind w:firstLine="836"/>
        <w:jc w:val="both"/>
        <w:rPr>
          <w:sz w:val="28"/>
          <w:szCs w:val="28"/>
        </w:rPr>
      </w:pPr>
      <w:r w:rsidRPr="00273227">
        <w:rPr>
          <w:b/>
          <w:sz w:val="28"/>
          <w:szCs w:val="28"/>
        </w:rPr>
        <w:t>Объем инвестиций в основной капитал организаций</w:t>
      </w:r>
      <w:r>
        <w:rPr>
          <w:sz w:val="28"/>
          <w:szCs w:val="28"/>
        </w:rPr>
        <w:t xml:space="preserve"> (без субъек</w:t>
      </w:r>
      <w:r w:rsidRPr="00273227">
        <w:rPr>
          <w:sz w:val="28"/>
          <w:szCs w:val="28"/>
        </w:rPr>
        <w:t>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</w:t>
      </w:r>
      <w:r w:rsidR="007336AF">
        <w:rPr>
          <w:sz w:val="28"/>
          <w:szCs w:val="28"/>
        </w:rPr>
        <w:t>сентябре</w:t>
      </w:r>
      <w:r w:rsidRPr="00273227">
        <w:rPr>
          <w:sz w:val="28"/>
          <w:szCs w:val="28"/>
        </w:rPr>
        <w:t xml:space="preserve"> 2018 года </w:t>
      </w:r>
      <w:r w:rsidRPr="00273227">
        <w:rPr>
          <w:sz w:val="28"/>
          <w:szCs w:val="28"/>
        </w:rPr>
        <w:lastRenderedPageBreak/>
        <w:t xml:space="preserve">использован на </w:t>
      </w:r>
      <w:r w:rsidR="007336AF">
        <w:rPr>
          <w:sz w:val="28"/>
          <w:szCs w:val="28"/>
        </w:rPr>
        <w:t>69297</w:t>
      </w:r>
      <w:r w:rsidRPr="00273227">
        <w:rPr>
          <w:sz w:val="28"/>
          <w:szCs w:val="28"/>
        </w:rPr>
        <w:t xml:space="preserve"> тыс. рублей, что на </w:t>
      </w:r>
      <w:r w:rsidR="007336AF">
        <w:rPr>
          <w:sz w:val="28"/>
          <w:szCs w:val="28"/>
        </w:rPr>
        <w:t>30,5</w:t>
      </w:r>
      <w:r w:rsidRPr="00273227">
        <w:rPr>
          <w:sz w:val="28"/>
          <w:szCs w:val="28"/>
        </w:rPr>
        <w:t xml:space="preserve">% </w:t>
      </w:r>
      <w:r w:rsidR="009C0CB2">
        <w:rPr>
          <w:sz w:val="28"/>
          <w:szCs w:val="28"/>
        </w:rPr>
        <w:t xml:space="preserve">выше </w:t>
      </w:r>
      <w:r w:rsidRPr="00273227">
        <w:rPr>
          <w:sz w:val="28"/>
          <w:szCs w:val="28"/>
        </w:rPr>
        <w:t>уровня соответствующего периода предыдущего года в действующих ценах.</w:t>
      </w:r>
    </w:p>
    <w:p w:rsidR="00DB2F27" w:rsidRDefault="00273227" w:rsidP="00273227">
      <w:pPr>
        <w:ind w:firstLine="836"/>
        <w:jc w:val="both"/>
        <w:rPr>
          <w:sz w:val="28"/>
          <w:szCs w:val="28"/>
        </w:rPr>
      </w:pPr>
      <w:r w:rsidRPr="00DB2F27">
        <w:rPr>
          <w:b/>
          <w:sz w:val="28"/>
          <w:szCs w:val="28"/>
        </w:rPr>
        <w:t>Жилищное строительство.</w:t>
      </w:r>
      <w:r w:rsidRPr="00273227">
        <w:rPr>
          <w:sz w:val="28"/>
          <w:szCs w:val="28"/>
        </w:rPr>
        <w:t xml:space="preserve"> </w:t>
      </w:r>
      <w:r w:rsidR="00DB2F27" w:rsidRPr="00DB2F27">
        <w:rPr>
          <w:sz w:val="28"/>
          <w:szCs w:val="28"/>
        </w:rPr>
        <w:t>В 2018 году за счет всех источников фина</w:t>
      </w:r>
      <w:r w:rsidR="0053225C">
        <w:rPr>
          <w:sz w:val="28"/>
          <w:szCs w:val="28"/>
        </w:rPr>
        <w:t>нсирования введено 9183 кв. мет</w:t>
      </w:r>
      <w:r w:rsidR="00DB2F27" w:rsidRPr="00DB2F27">
        <w:rPr>
          <w:sz w:val="28"/>
          <w:szCs w:val="28"/>
        </w:rPr>
        <w:t>ра жилых помещений, что в 1,8 раза больше уровня 2017 года. Из общего ввода жилья индивидуальными застройщиками введено 9183 кв. метра (100,0% от общего ввода и в 2,0 раза к уровню 2017 года).</w:t>
      </w:r>
    </w:p>
    <w:p w:rsidR="00DB2F27" w:rsidRDefault="00273227" w:rsidP="00DB2F27">
      <w:pPr>
        <w:ind w:firstLine="836"/>
        <w:jc w:val="both"/>
        <w:rPr>
          <w:sz w:val="28"/>
          <w:szCs w:val="28"/>
        </w:rPr>
      </w:pPr>
      <w:r w:rsidRPr="00273227">
        <w:rPr>
          <w:b/>
          <w:sz w:val="28"/>
          <w:szCs w:val="28"/>
        </w:rPr>
        <w:t>Строительная деятельность.</w:t>
      </w:r>
      <w:r w:rsidRPr="00273227">
        <w:rPr>
          <w:sz w:val="28"/>
          <w:szCs w:val="28"/>
        </w:rPr>
        <w:t xml:space="preserve"> </w:t>
      </w:r>
      <w:r w:rsidR="00DB2F27" w:rsidRPr="00DB2F27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proofErr w:type="gramStart"/>
      <w:r w:rsidR="00DB2F27" w:rsidRPr="0053225C">
        <w:rPr>
          <w:sz w:val="28"/>
          <w:szCs w:val="28"/>
          <w:vertAlign w:val="superscript"/>
        </w:rPr>
        <w:t>1</w:t>
      </w:r>
      <w:proofErr w:type="gramEnd"/>
      <w:r w:rsidR="00DB2F27" w:rsidRPr="0053225C">
        <w:rPr>
          <w:sz w:val="28"/>
          <w:szCs w:val="28"/>
          <w:vertAlign w:val="superscript"/>
        </w:rPr>
        <w:t>)</w:t>
      </w:r>
      <w:r w:rsidR="00DB2F27" w:rsidRPr="00DB2F27">
        <w:rPr>
          <w:sz w:val="28"/>
          <w:szCs w:val="28"/>
        </w:rPr>
        <w:t xml:space="preserve">, в 2018 году на 71,6% меньше уровня предыдущего года в сопоставимых ценах. </w:t>
      </w:r>
    </w:p>
    <w:p w:rsidR="00350028" w:rsidRPr="00350028" w:rsidRDefault="00273227" w:rsidP="00350028">
      <w:pPr>
        <w:ind w:firstLine="836"/>
        <w:jc w:val="both"/>
        <w:rPr>
          <w:sz w:val="28"/>
          <w:szCs w:val="28"/>
        </w:rPr>
      </w:pPr>
      <w:r w:rsidRPr="00A73DFC">
        <w:rPr>
          <w:b/>
          <w:sz w:val="28"/>
          <w:szCs w:val="28"/>
        </w:rPr>
        <w:t>Сельское хозяйство.</w:t>
      </w:r>
      <w:r w:rsidRPr="00273227">
        <w:rPr>
          <w:sz w:val="28"/>
          <w:szCs w:val="28"/>
        </w:rPr>
        <w:t xml:space="preserve"> </w:t>
      </w:r>
      <w:r w:rsidR="00350028" w:rsidRPr="00350028">
        <w:rPr>
          <w:sz w:val="28"/>
          <w:szCs w:val="28"/>
        </w:rPr>
        <w:t>Посевная площадь сельскохозяйственных культур в хозяйствах всех категорий в 2018 году снизилась по сравнению с 2017 годом на 1,5% и составила 3548 гектаров. При этом посевы картофеля сократились на 2,1%, овощей – возросли в 1,5 раза, кормовых культур – сократились на 2,1%.</w:t>
      </w:r>
    </w:p>
    <w:p w:rsidR="00350028" w:rsidRPr="00350028" w:rsidRDefault="00350028" w:rsidP="00350028">
      <w:pPr>
        <w:ind w:firstLine="836"/>
        <w:jc w:val="both"/>
        <w:rPr>
          <w:sz w:val="28"/>
          <w:szCs w:val="28"/>
        </w:rPr>
      </w:pPr>
      <w:r w:rsidRPr="00350028">
        <w:rPr>
          <w:sz w:val="28"/>
          <w:szCs w:val="28"/>
        </w:rPr>
        <w:t>Сбор картофеля в хозяйствах всех к</w:t>
      </w:r>
      <w:r w:rsidR="0053225C">
        <w:rPr>
          <w:sz w:val="28"/>
          <w:szCs w:val="28"/>
        </w:rPr>
        <w:t>атегорий возрос в 2,3 раза, ово</w:t>
      </w:r>
      <w:r w:rsidRPr="00350028">
        <w:rPr>
          <w:sz w:val="28"/>
          <w:szCs w:val="28"/>
        </w:rPr>
        <w:t>щей – в 2,1 раза.</w:t>
      </w:r>
    </w:p>
    <w:p w:rsidR="00350028" w:rsidRPr="00350028" w:rsidRDefault="00350028" w:rsidP="00350028">
      <w:pPr>
        <w:ind w:firstLine="836"/>
        <w:jc w:val="both"/>
        <w:rPr>
          <w:sz w:val="28"/>
          <w:szCs w:val="28"/>
        </w:rPr>
      </w:pPr>
      <w:r w:rsidRPr="00350028">
        <w:rPr>
          <w:sz w:val="28"/>
          <w:szCs w:val="28"/>
        </w:rPr>
        <w:t>В сельскохозяйственных организациях муниципального района на 1 января 2019 года по сравнению с соответ</w:t>
      </w:r>
      <w:r w:rsidR="0053225C">
        <w:rPr>
          <w:sz w:val="28"/>
          <w:szCs w:val="28"/>
        </w:rPr>
        <w:t>ствующей датой 2018 года поголо</w:t>
      </w:r>
      <w:r w:rsidRPr="00350028">
        <w:rPr>
          <w:sz w:val="28"/>
          <w:szCs w:val="28"/>
        </w:rPr>
        <w:t>вье крупного рогатого скота снизилось на 9,0%, из него коров – на 0,9%.</w:t>
      </w:r>
    </w:p>
    <w:p w:rsidR="00350028" w:rsidRDefault="00350028" w:rsidP="00350028">
      <w:pPr>
        <w:ind w:firstLine="836"/>
        <w:jc w:val="both"/>
        <w:rPr>
          <w:sz w:val="28"/>
          <w:szCs w:val="28"/>
        </w:rPr>
      </w:pPr>
      <w:r w:rsidRPr="00350028">
        <w:rPr>
          <w:sz w:val="28"/>
          <w:szCs w:val="28"/>
        </w:rPr>
        <w:t>В сельскохозяйственных организациях муниципального района в 2018 году по сравнению с соответствующим периодом предыдущего года производство скота и птицы на убой (в живом весе) выросло в 1,6 раза, производство молока сократилось на 6,0%.</w:t>
      </w:r>
    </w:p>
    <w:p w:rsidR="00350028" w:rsidRDefault="00A73DFC" w:rsidP="00350028">
      <w:pPr>
        <w:ind w:firstLine="836"/>
        <w:jc w:val="both"/>
        <w:rPr>
          <w:sz w:val="28"/>
          <w:szCs w:val="28"/>
        </w:rPr>
      </w:pPr>
      <w:r w:rsidRPr="000F1495">
        <w:rPr>
          <w:b/>
          <w:sz w:val="28"/>
          <w:szCs w:val="28"/>
        </w:rPr>
        <w:t>Оборот розничной торговли</w:t>
      </w:r>
      <w:r w:rsidRPr="00A73DFC">
        <w:rPr>
          <w:sz w:val="28"/>
          <w:szCs w:val="28"/>
        </w:rPr>
        <w:t xml:space="preserve"> </w:t>
      </w:r>
      <w:r w:rsidR="00350028" w:rsidRPr="00350028">
        <w:rPr>
          <w:sz w:val="28"/>
          <w:szCs w:val="28"/>
        </w:rPr>
        <w:t>по организациям</w:t>
      </w:r>
      <w:proofErr w:type="gramStart"/>
      <w:r w:rsidR="00350028" w:rsidRPr="0053225C">
        <w:rPr>
          <w:sz w:val="28"/>
          <w:szCs w:val="28"/>
          <w:vertAlign w:val="superscript"/>
        </w:rPr>
        <w:t>1</w:t>
      </w:r>
      <w:proofErr w:type="gramEnd"/>
      <w:r w:rsidR="00350028" w:rsidRPr="0053225C">
        <w:rPr>
          <w:sz w:val="28"/>
          <w:szCs w:val="28"/>
          <w:vertAlign w:val="superscript"/>
        </w:rPr>
        <w:t>)</w:t>
      </w:r>
      <w:r w:rsidR="00350028" w:rsidRPr="00350028">
        <w:rPr>
          <w:sz w:val="28"/>
          <w:szCs w:val="28"/>
        </w:rPr>
        <w:t xml:space="preserve"> составил 778938 тыс. рублей, что в сопоставимых ценах на 11,5% выше, чем за 2017 год. В макроструктуре оборота розничной торговли организаций преобладающую долю занимают непродовольственные товары – 60,9%. Кроме того, организациями общественного питания</w:t>
      </w:r>
      <w:proofErr w:type="gramStart"/>
      <w:r w:rsidR="00350028" w:rsidRPr="0053225C">
        <w:rPr>
          <w:sz w:val="28"/>
          <w:szCs w:val="28"/>
          <w:vertAlign w:val="superscript"/>
        </w:rPr>
        <w:t>1</w:t>
      </w:r>
      <w:proofErr w:type="gramEnd"/>
      <w:r w:rsidR="00350028" w:rsidRPr="0053225C">
        <w:rPr>
          <w:sz w:val="28"/>
          <w:szCs w:val="28"/>
          <w:vertAlign w:val="superscript"/>
        </w:rPr>
        <w:t>)</w:t>
      </w:r>
      <w:r w:rsidR="00350028" w:rsidRPr="00350028">
        <w:rPr>
          <w:sz w:val="28"/>
          <w:szCs w:val="28"/>
        </w:rPr>
        <w:t xml:space="preserve"> реализовано продукции на 18226 тыс. рублей (на 4,1% больше уровня 2017 года в сопоставимых ценах).</w:t>
      </w:r>
    </w:p>
    <w:p w:rsidR="00A73DFC" w:rsidRPr="00A73DFC" w:rsidRDefault="00A73DFC" w:rsidP="00350028">
      <w:pPr>
        <w:ind w:firstLine="836"/>
        <w:jc w:val="both"/>
        <w:rPr>
          <w:sz w:val="28"/>
          <w:szCs w:val="28"/>
        </w:rPr>
      </w:pPr>
      <w:r w:rsidRPr="000F1495">
        <w:rPr>
          <w:b/>
          <w:sz w:val="28"/>
          <w:szCs w:val="28"/>
        </w:rPr>
        <w:t>Услуги.</w:t>
      </w:r>
      <w:r w:rsidRPr="00A73DFC">
        <w:rPr>
          <w:sz w:val="28"/>
          <w:szCs w:val="28"/>
        </w:rPr>
        <w:t xml:space="preserve"> </w:t>
      </w:r>
      <w:r w:rsidR="00350028" w:rsidRPr="00350028">
        <w:rPr>
          <w:sz w:val="28"/>
          <w:szCs w:val="28"/>
        </w:rPr>
        <w:t>Объем платных услуг, оказанных населению в 2018 году организациями</w:t>
      </w:r>
      <w:proofErr w:type="gramStart"/>
      <w:r w:rsidR="00350028" w:rsidRPr="0053225C">
        <w:rPr>
          <w:sz w:val="28"/>
          <w:szCs w:val="28"/>
          <w:vertAlign w:val="superscript"/>
        </w:rPr>
        <w:t>1</w:t>
      </w:r>
      <w:proofErr w:type="gramEnd"/>
      <w:r w:rsidR="00350028" w:rsidRPr="0053225C">
        <w:rPr>
          <w:sz w:val="28"/>
          <w:szCs w:val="28"/>
          <w:vertAlign w:val="superscript"/>
        </w:rPr>
        <w:t>)</w:t>
      </w:r>
      <w:r w:rsidR="00350028" w:rsidRPr="00350028">
        <w:rPr>
          <w:sz w:val="28"/>
          <w:szCs w:val="28"/>
        </w:rPr>
        <w:t>, составил 78820 тыс. рублей, что в сопоставимых ценах на 0,2% меньше уровня 2017 года.</w:t>
      </w:r>
    </w:p>
    <w:p w:rsidR="00350028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0F1495">
        <w:rPr>
          <w:b/>
          <w:sz w:val="28"/>
          <w:szCs w:val="28"/>
        </w:rPr>
        <w:t>Оптовый рынок</w:t>
      </w:r>
      <w:r w:rsidRPr="008B657E">
        <w:rPr>
          <w:b/>
          <w:i/>
          <w:sz w:val="28"/>
          <w:szCs w:val="28"/>
        </w:rPr>
        <w:t>.</w:t>
      </w:r>
      <w:r w:rsidRPr="008B657E">
        <w:rPr>
          <w:sz w:val="28"/>
          <w:szCs w:val="28"/>
        </w:rPr>
        <w:t xml:space="preserve"> </w:t>
      </w:r>
      <w:r w:rsidR="00350028" w:rsidRPr="00350028">
        <w:rPr>
          <w:sz w:val="28"/>
          <w:szCs w:val="28"/>
        </w:rPr>
        <w:t>Оборот оптовой торговли организаций</w:t>
      </w:r>
      <w:proofErr w:type="gramStart"/>
      <w:r w:rsidR="00350028" w:rsidRPr="0053225C">
        <w:rPr>
          <w:sz w:val="28"/>
          <w:szCs w:val="28"/>
          <w:vertAlign w:val="superscript"/>
        </w:rPr>
        <w:t>1</w:t>
      </w:r>
      <w:proofErr w:type="gramEnd"/>
      <w:r w:rsidR="00350028" w:rsidRPr="0053225C">
        <w:rPr>
          <w:sz w:val="28"/>
          <w:szCs w:val="28"/>
          <w:vertAlign w:val="superscript"/>
        </w:rPr>
        <w:t>)</w:t>
      </w:r>
      <w:r w:rsidR="00350028" w:rsidRPr="00350028">
        <w:rPr>
          <w:sz w:val="28"/>
          <w:szCs w:val="28"/>
        </w:rPr>
        <w:t xml:space="preserve"> всех видов деятельности в 2018 году в сопоставимых ценах на 35,8% ниже уровня 2017 года.</w:t>
      </w:r>
    </w:p>
    <w:p w:rsidR="00350028" w:rsidRPr="00350028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0F1495">
        <w:rPr>
          <w:b/>
          <w:sz w:val="28"/>
          <w:szCs w:val="28"/>
        </w:rPr>
        <w:t>Цены.</w:t>
      </w:r>
      <w:r w:rsidRPr="008B657E">
        <w:rPr>
          <w:sz w:val="28"/>
          <w:szCs w:val="28"/>
        </w:rPr>
        <w:t xml:space="preserve"> </w:t>
      </w:r>
      <w:r w:rsidR="00350028" w:rsidRPr="00350028">
        <w:rPr>
          <w:sz w:val="28"/>
          <w:szCs w:val="28"/>
        </w:rPr>
        <w:t xml:space="preserve">За 2018 год прирост потребительских цен по Архангельской области без Ненецкого автономного округа составил 4,0%, что выше соответствующего прироста цен за 2017 год (1,5%). Опережающими темпами росли цены на услуги: за 2018 год услуги подорожали на 6,1%, товары – на 3,2%. За декабрь 2018 года прирост потребительских цен составил 1,0%, в том числе на товары – 1,1%, на услуги – 0,7%. </w:t>
      </w:r>
    </w:p>
    <w:p w:rsidR="00350028" w:rsidRPr="00350028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50028">
        <w:rPr>
          <w:sz w:val="28"/>
          <w:szCs w:val="28"/>
        </w:rPr>
        <w:lastRenderedPageBreak/>
        <w:t>Стоимость условного (минимального) набора продуктов питания в расчете на месяц на 1 человека в конце декабря 2018 года в среднем по области без Ненецкого автономного округа составила 4842,0 рубля и увеличилась за месяц на 1,8%. По сравнению с декабрем 2017 года стоимость набора увеличилась на 234,7 рубля или на 5,1%.</w:t>
      </w:r>
    </w:p>
    <w:p w:rsidR="00350028" w:rsidRPr="00350028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50028">
        <w:rPr>
          <w:sz w:val="28"/>
          <w:szCs w:val="28"/>
        </w:rPr>
        <w:t>В конце декабря 2018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</w:t>
      </w:r>
      <w:r w:rsidR="0053225C">
        <w:rPr>
          <w:sz w:val="28"/>
          <w:szCs w:val="28"/>
        </w:rPr>
        <w:t>е товары (в рублях): мыло хозяй</w:t>
      </w:r>
      <w:r w:rsidRPr="00350028">
        <w:rPr>
          <w:sz w:val="28"/>
          <w:szCs w:val="28"/>
        </w:rPr>
        <w:t>ственное – 36,41 за 200 грамм, порошок стиральный – 149,70 за 1 кило-грамм, мыло туалетное – 54,34 за 100 грамм, сигареты с фильтром отечественные – 88,72 за пачку, бензин автомобильный марки АИ-92 (</w:t>
      </w:r>
      <w:r>
        <w:rPr>
          <w:sz w:val="28"/>
          <w:szCs w:val="28"/>
        </w:rPr>
        <w:t xml:space="preserve">АИ-93 и т.п.) – 40,55 </w:t>
      </w:r>
      <w:r w:rsidRPr="00350028">
        <w:rPr>
          <w:sz w:val="28"/>
          <w:szCs w:val="28"/>
        </w:rPr>
        <w:t>за 1 литр, телевизор цветного изображения – 23554,90 за 1 штуку, холодильник двухкамерный, емкостью 250-350 л – 32860,14 за 1 штуку.</w:t>
      </w:r>
    </w:p>
    <w:p w:rsidR="00350028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50028">
        <w:rPr>
          <w:sz w:val="28"/>
          <w:szCs w:val="28"/>
        </w:rPr>
        <w:t>В 2018 году отмечено следующее изменение цен и тарифов на услуги по Архангельской области без Не</w:t>
      </w:r>
      <w:bookmarkStart w:id="1" w:name="_GoBack"/>
      <w:bookmarkEnd w:id="1"/>
      <w:r w:rsidRPr="00350028">
        <w:rPr>
          <w:sz w:val="28"/>
          <w:szCs w:val="28"/>
        </w:rPr>
        <w:t>нецкого автономного округа: цены (тарифы) выросли на санаторно-оздоровительные услуги – на 29,7%, услуги пассажирского транспорта – на 15,0%, услуги в сфере туризма – на 12,3%, услуги образования – на 6,7%, услуги правового характера – на 5,7%, медицинские услуги – на 5,4%, жилищно-коммунальные ус</w:t>
      </w:r>
      <w:r>
        <w:rPr>
          <w:sz w:val="28"/>
          <w:szCs w:val="28"/>
        </w:rPr>
        <w:t xml:space="preserve">луги – на 3,7%, услуги связи – </w:t>
      </w:r>
      <w:r w:rsidRPr="00350028">
        <w:rPr>
          <w:sz w:val="28"/>
          <w:szCs w:val="28"/>
        </w:rPr>
        <w:t xml:space="preserve">на 3,0%, услуги физической культуры и спорта – на 2,2%, бытовые услуги – на 1,7%, ветеринарные услуги – на 1,5%, </w:t>
      </w:r>
      <w:r w:rsidR="0053225C">
        <w:rPr>
          <w:sz w:val="28"/>
          <w:szCs w:val="28"/>
        </w:rPr>
        <w:t>услуги банков – на 0,02%. Снизи</w:t>
      </w:r>
      <w:r w:rsidRPr="00350028">
        <w:rPr>
          <w:sz w:val="28"/>
          <w:szCs w:val="28"/>
        </w:rPr>
        <w:t>лись цены (тарифы) на услуги организаций культуры на 1,2%.</w:t>
      </w:r>
    </w:p>
    <w:p w:rsidR="00350028" w:rsidRPr="00350028" w:rsidRDefault="00A73DFC" w:rsidP="00350028">
      <w:pPr>
        <w:spacing w:before="60"/>
        <w:ind w:firstLine="567"/>
        <w:jc w:val="both"/>
        <w:rPr>
          <w:color w:val="000000"/>
          <w:sz w:val="28"/>
          <w:szCs w:val="28"/>
        </w:rPr>
      </w:pPr>
      <w:r w:rsidRPr="000F1495">
        <w:rPr>
          <w:b/>
          <w:color w:val="000000"/>
          <w:sz w:val="28"/>
          <w:szCs w:val="28"/>
        </w:rPr>
        <w:t>Финансы.</w:t>
      </w:r>
      <w:r w:rsidRPr="000F1495">
        <w:rPr>
          <w:color w:val="000000"/>
          <w:sz w:val="28"/>
          <w:szCs w:val="28"/>
        </w:rPr>
        <w:t xml:space="preserve"> </w:t>
      </w:r>
      <w:r w:rsidR="00350028" w:rsidRPr="00350028">
        <w:rPr>
          <w:color w:val="000000"/>
          <w:sz w:val="28"/>
          <w:szCs w:val="28"/>
        </w:rPr>
        <w:t>По оперативным данным министерства финансов Архангельской области за январь-ноябрь 2018 года в бюджет муниципального района поступило 893823 тыс. рублей, израсходовано из бюджета 879881 тыс. рублей, профицит бюджета составил 13942 тыс. рублей.</w:t>
      </w:r>
    </w:p>
    <w:p w:rsidR="00350028" w:rsidRDefault="00350028" w:rsidP="00350028">
      <w:pPr>
        <w:spacing w:before="60"/>
        <w:ind w:firstLine="567"/>
        <w:jc w:val="both"/>
        <w:rPr>
          <w:color w:val="000000"/>
          <w:sz w:val="28"/>
          <w:szCs w:val="28"/>
        </w:rPr>
      </w:pPr>
      <w:r w:rsidRPr="00350028">
        <w:rPr>
          <w:color w:val="000000"/>
          <w:sz w:val="28"/>
          <w:szCs w:val="28"/>
        </w:rPr>
        <w:t xml:space="preserve">За январь-ноябрь 2018 года, по </w:t>
      </w:r>
      <w:r w:rsidR="0053225C">
        <w:rPr>
          <w:color w:val="000000"/>
          <w:sz w:val="28"/>
          <w:szCs w:val="28"/>
        </w:rPr>
        <w:t>оперативным данным, сальдирован</w:t>
      </w:r>
      <w:r w:rsidRPr="00350028">
        <w:rPr>
          <w:color w:val="000000"/>
          <w:sz w:val="28"/>
          <w:szCs w:val="28"/>
        </w:rPr>
        <w:t>ный финансовый результат организаци</w:t>
      </w:r>
      <w:r w:rsidR="0053225C">
        <w:rPr>
          <w:color w:val="000000"/>
          <w:sz w:val="28"/>
          <w:szCs w:val="28"/>
        </w:rPr>
        <w:t>й (без субъектов малого предпри</w:t>
      </w:r>
      <w:r w:rsidRPr="00350028">
        <w:rPr>
          <w:color w:val="000000"/>
          <w:sz w:val="28"/>
          <w:szCs w:val="28"/>
        </w:rPr>
        <w:t>нимательства, банков, страховых органи</w:t>
      </w:r>
      <w:r w:rsidR="0053225C">
        <w:rPr>
          <w:color w:val="000000"/>
          <w:sz w:val="28"/>
          <w:szCs w:val="28"/>
        </w:rPr>
        <w:t>заций и государственных (муници</w:t>
      </w:r>
      <w:r w:rsidRPr="00350028">
        <w:rPr>
          <w:color w:val="000000"/>
          <w:sz w:val="28"/>
          <w:szCs w:val="28"/>
        </w:rPr>
        <w:t>пальных) учреждений) составил 70790 тыс. рублей прибыли. 2 организации получили прибыль, 1 – имела убыток.</w:t>
      </w:r>
    </w:p>
    <w:p w:rsidR="00350028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0F1495">
        <w:rPr>
          <w:b/>
          <w:sz w:val="28"/>
          <w:szCs w:val="28"/>
        </w:rPr>
        <w:t>Суммарная задолженность по обязательствам</w:t>
      </w:r>
      <w:r w:rsidRPr="008B657E">
        <w:rPr>
          <w:sz w:val="28"/>
          <w:szCs w:val="28"/>
        </w:rPr>
        <w:t xml:space="preserve"> </w:t>
      </w:r>
      <w:r w:rsidR="00350028" w:rsidRPr="00350028">
        <w:rPr>
          <w:sz w:val="28"/>
          <w:szCs w:val="28"/>
        </w:rPr>
        <w:t>на конец ноября 2018 года достигла 180165 тыс. рублей, в том числе кредиторская – 174500 тыс. рублей. Размер дебиторской задолженности составил 52309 тыс. рублей.</w:t>
      </w:r>
    </w:p>
    <w:p w:rsidR="00755F48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0F1495">
        <w:rPr>
          <w:b/>
          <w:sz w:val="28"/>
          <w:szCs w:val="28"/>
        </w:rPr>
        <w:t>Оплата труда</w:t>
      </w:r>
      <w:r w:rsidRPr="008B657E">
        <w:rPr>
          <w:sz w:val="28"/>
          <w:szCs w:val="28"/>
        </w:rPr>
        <w:t xml:space="preserve">. </w:t>
      </w:r>
      <w:r w:rsidR="00755F48" w:rsidRPr="00755F48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proofErr w:type="gramStart"/>
      <w:r w:rsidR="00755F48" w:rsidRPr="0053225C">
        <w:rPr>
          <w:sz w:val="28"/>
          <w:szCs w:val="28"/>
          <w:vertAlign w:val="superscript"/>
        </w:rPr>
        <w:t>1</w:t>
      </w:r>
      <w:proofErr w:type="gramEnd"/>
      <w:r w:rsidR="00755F48" w:rsidRPr="0053225C">
        <w:rPr>
          <w:sz w:val="28"/>
          <w:szCs w:val="28"/>
          <w:vertAlign w:val="superscript"/>
        </w:rPr>
        <w:t>)</w:t>
      </w:r>
      <w:r w:rsidR="00755F48" w:rsidRPr="00755F48">
        <w:rPr>
          <w:sz w:val="28"/>
          <w:szCs w:val="28"/>
        </w:rPr>
        <w:t xml:space="preserve"> за январь-ноябрь 2018 года составила 35644,8 рубля и увеличилась по сравнению с соответствующим периодом 2017 года на 14,0%. Среднемесячная заработная плата за ноябрь 2018 года сложилась в размере 35811,1 рубля и в</w:t>
      </w:r>
      <w:r w:rsidR="00755F48">
        <w:rPr>
          <w:sz w:val="28"/>
          <w:szCs w:val="28"/>
        </w:rPr>
        <w:t xml:space="preserve">озросла по сравнению с ноябрем </w:t>
      </w:r>
      <w:r w:rsidR="00755F48" w:rsidRPr="00755F48">
        <w:rPr>
          <w:sz w:val="28"/>
          <w:szCs w:val="28"/>
        </w:rPr>
        <w:t>2017 года на 5,3%, по сравнению с октябрем 2018 года увеличилась на 2,6%.</w:t>
      </w:r>
    </w:p>
    <w:p w:rsidR="00755F48" w:rsidRPr="00755F48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0F1495">
        <w:rPr>
          <w:b/>
          <w:sz w:val="28"/>
          <w:szCs w:val="28"/>
        </w:rPr>
        <w:lastRenderedPageBreak/>
        <w:t>Занятость населения.</w:t>
      </w:r>
      <w:r w:rsidRPr="008B657E">
        <w:rPr>
          <w:sz w:val="28"/>
          <w:szCs w:val="28"/>
        </w:rPr>
        <w:t xml:space="preserve"> </w:t>
      </w:r>
      <w:r w:rsidR="00755F48" w:rsidRPr="00755F48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proofErr w:type="gramStart"/>
      <w:r w:rsidR="00755F48" w:rsidRPr="0053225C">
        <w:rPr>
          <w:sz w:val="28"/>
          <w:szCs w:val="28"/>
          <w:vertAlign w:val="superscript"/>
        </w:rPr>
        <w:t>1</w:t>
      </w:r>
      <w:proofErr w:type="gramEnd"/>
      <w:r w:rsidR="00755F48" w:rsidRPr="0053225C">
        <w:rPr>
          <w:sz w:val="28"/>
          <w:szCs w:val="28"/>
          <w:vertAlign w:val="superscript"/>
        </w:rPr>
        <w:t>)</w:t>
      </w:r>
      <w:r w:rsidR="00755F48" w:rsidRPr="00755F48">
        <w:rPr>
          <w:sz w:val="28"/>
          <w:szCs w:val="28"/>
        </w:rPr>
        <w:t xml:space="preserve"> в январе-ноябре 2018 года составило 3522 человека, что меньше, чем в январе-ноябре 2017 года на 44 человека. В январе-ноябре </w:t>
      </w:r>
      <w:r w:rsidR="0053225C">
        <w:rPr>
          <w:sz w:val="28"/>
          <w:szCs w:val="28"/>
        </w:rPr>
        <w:t>2018 года в общем количестве за</w:t>
      </w:r>
      <w:r w:rsidR="00755F48" w:rsidRPr="00755F48">
        <w:rPr>
          <w:sz w:val="28"/>
          <w:szCs w:val="28"/>
        </w:rPr>
        <w:t>мещенных рабочих мест рабочие места внешних совместителей составили 1,2%, лиц, выполнявших работы по догов</w:t>
      </w:r>
      <w:r w:rsidR="0053225C">
        <w:rPr>
          <w:sz w:val="28"/>
          <w:szCs w:val="28"/>
        </w:rPr>
        <w:t>орам гражданско-правового харак</w:t>
      </w:r>
      <w:r w:rsidR="00755F48" w:rsidRPr="00755F48">
        <w:rPr>
          <w:sz w:val="28"/>
          <w:szCs w:val="28"/>
        </w:rPr>
        <w:t>тера – 3,1%.</w:t>
      </w:r>
    </w:p>
    <w:p w:rsidR="00755F48" w:rsidRPr="00755F48" w:rsidRDefault="00755F48" w:rsidP="00755F48">
      <w:pPr>
        <w:spacing w:before="60"/>
        <w:ind w:firstLine="567"/>
        <w:jc w:val="both"/>
        <w:rPr>
          <w:sz w:val="28"/>
          <w:szCs w:val="28"/>
        </w:rPr>
      </w:pPr>
      <w:r w:rsidRPr="00755F48">
        <w:rPr>
          <w:sz w:val="28"/>
          <w:szCs w:val="28"/>
        </w:rPr>
        <w:t xml:space="preserve">Численность незанятых граждан, обратившихся в органы службы занятости населения за содействием в поиске работы (по данным министерства труда, занятости и социального развития Архангельской области) на 1 января 2019 года составила 319 человек. Численность безработных на 1 января </w:t>
      </w:r>
    </w:p>
    <w:p w:rsidR="00755F48" w:rsidRPr="00755F48" w:rsidRDefault="00755F48" w:rsidP="00755F48">
      <w:pPr>
        <w:spacing w:before="60"/>
        <w:ind w:firstLine="567"/>
        <w:jc w:val="both"/>
        <w:rPr>
          <w:sz w:val="28"/>
          <w:szCs w:val="28"/>
        </w:rPr>
      </w:pPr>
      <w:r w:rsidRPr="00755F48">
        <w:rPr>
          <w:sz w:val="28"/>
          <w:szCs w:val="28"/>
        </w:rPr>
        <w:t xml:space="preserve">2019 года составила 301 человек и по сравнению с 1 января 2018 года увеличилась на 44 человека, или на 17,1%, с 1 декабря 2018 года – на 34 человека, или </w:t>
      </w:r>
      <w:proofErr w:type="gramStart"/>
      <w:r w:rsidRPr="00755F48">
        <w:rPr>
          <w:sz w:val="28"/>
          <w:szCs w:val="28"/>
        </w:rPr>
        <w:t>на</w:t>
      </w:r>
      <w:proofErr w:type="gramEnd"/>
      <w:r w:rsidRPr="00755F48">
        <w:rPr>
          <w:sz w:val="28"/>
          <w:szCs w:val="28"/>
        </w:rPr>
        <w:t xml:space="preserve"> 12,7%.</w:t>
      </w:r>
    </w:p>
    <w:p w:rsidR="00755F48" w:rsidRPr="00755F48" w:rsidRDefault="00755F48" w:rsidP="00755F48">
      <w:pPr>
        <w:spacing w:before="60"/>
        <w:ind w:firstLine="567"/>
        <w:jc w:val="both"/>
        <w:rPr>
          <w:sz w:val="28"/>
          <w:szCs w:val="28"/>
        </w:rPr>
      </w:pPr>
      <w:r w:rsidRPr="00755F48">
        <w:rPr>
          <w:sz w:val="28"/>
          <w:szCs w:val="28"/>
        </w:rPr>
        <w:t>В декабре 2018 года получили статус безработного 111 человек, нашли работу 6 безработных.</w:t>
      </w:r>
    </w:p>
    <w:p w:rsidR="00755F48" w:rsidRPr="00755F48" w:rsidRDefault="00755F48" w:rsidP="00755F48">
      <w:pPr>
        <w:spacing w:before="60"/>
        <w:ind w:firstLine="567"/>
        <w:jc w:val="both"/>
        <w:rPr>
          <w:sz w:val="28"/>
          <w:szCs w:val="28"/>
        </w:rPr>
      </w:pPr>
      <w:r w:rsidRPr="00755F48">
        <w:rPr>
          <w:sz w:val="28"/>
          <w:szCs w:val="28"/>
        </w:rPr>
        <w:t>Нагрузка незанятого населения, обратившегося в органы службы занятости населения, на одну заявленную вакансию составила на конец декабря 2018 года 2,7 человека и осталась на уровне конца декабря 2017 года.</w:t>
      </w:r>
    </w:p>
    <w:p w:rsidR="0000076B" w:rsidRDefault="00755F48" w:rsidP="00755F48">
      <w:pPr>
        <w:spacing w:before="60"/>
        <w:ind w:firstLine="567"/>
        <w:jc w:val="both"/>
        <w:rPr>
          <w:sz w:val="28"/>
          <w:szCs w:val="28"/>
        </w:rPr>
      </w:pPr>
      <w:r w:rsidRPr="00755F48">
        <w:rPr>
          <w:sz w:val="28"/>
          <w:szCs w:val="28"/>
        </w:rPr>
        <w:t>Пособие по безработице на конец декабря 2018 года получают 264 гражданина, что составляет 87,7% от об</w:t>
      </w:r>
      <w:r w:rsidR="0053225C">
        <w:rPr>
          <w:sz w:val="28"/>
          <w:szCs w:val="28"/>
        </w:rPr>
        <w:t>щей численности зарегистрирован</w:t>
      </w:r>
      <w:r w:rsidRPr="00755F48">
        <w:rPr>
          <w:sz w:val="28"/>
          <w:szCs w:val="28"/>
        </w:rPr>
        <w:t>ных безработных.</w:t>
      </w:r>
    </w:p>
    <w:p w:rsidR="0089741A" w:rsidRDefault="0089741A" w:rsidP="00755F48">
      <w:pPr>
        <w:spacing w:before="60"/>
        <w:ind w:firstLine="567"/>
        <w:jc w:val="both"/>
        <w:rPr>
          <w:sz w:val="28"/>
          <w:szCs w:val="28"/>
        </w:rPr>
      </w:pPr>
    </w:p>
    <w:p w:rsidR="0089741A" w:rsidRDefault="0089741A" w:rsidP="00755F48">
      <w:pPr>
        <w:spacing w:before="60"/>
        <w:ind w:firstLine="567"/>
        <w:jc w:val="both"/>
        <w:rPr>
          <w:sz w:val="28"/>
          <w:szCs w:val="28"/>
        </w:rPr>
      </w:pP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89741A">
        <w:rPr>
          <w:rStyle w:val="ac"/>
          <w:rFonts w:ascii="Times New Roman" w:hAnsi="Times New Roman"/>
          <w:sz w:val="20"/>
          <w:szCs w:val="16"/>
        </w:rPr>
        <w:footnoteRef/>
      </w:r>
      <w:r w:rsidRPr="0089741A">
        <w:rPr>
          <w:rFonts w:ascii="Times New Roman" w:hAnsi="Times New Roman"/>
          <w:sz w:val="20"/>
          <w:szCs w:val="16"/>
          <w:vertAlign w:val="superscript"/>
        </w:rPr>
        <w:t>)</w:t>
      </w:r>
      <w:r w:rsidRPr="0089741A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56298"/>
    <w:rsid w:val="0009486D"/>
    <w:rsid w:val="000A6725"/>
    <w:rsid w:val="000F1495"/>
    <w:rsid w:val="00175C45"/>
    <w:rsid w:val="001A1E70"/>
    <w:rsid w:val="001F07E1"/>
    <w:rsid w:val="00216117"/>
    <w:rsid w:val="00271376"/>
    <w:rsid w:val="00273227"/>
    <w:rsid w:val="00275C78"/>
    <w:rsid w:val="002C46D2"/>
    <w:rsid w:val="00302CF8"/>
    <w:rsid w:val="00350028"/>
    <w:rsid w:val="00350E08"/>
    <w:rsid w:val="003777B5"/>
    <w:rsid w:val="003B42FB"/>
    <w:rsid w:val="003C4536"/>
    <w:rsid w:val="003C5ECB"/>
    <w:rsid w:val="004307E7"/>
    <w:rsid w:val="004D778E"/>
    <w:rsid w:val="00510B15"/>
    <w:rsid w:val="0053225C"/>
    <w:rsid w:val="00552699"/>
    <w:rsid w:val="006379B3"/>
    <w:rsid w:val="0065545B"/>
    <w:rsid w:val="00694867"/>
    <w:rsid w:val="007336AF"/>
    <w:rsid w:val="00755413"/>
    <w:rsid w:val="00755F48"/>
    <w:rsid w:val="007C6C16"/>
    <w:rsid w:val="007E5D77"/>
    <w:rsid w:val="008253C9"/>
    <w:rsid w:val="0085678F"/>
    <w:rsid w:val="00873D33"/>
    <w:rsid w:val="0089741A"/>
    <w:rsid w:val="008B657E"/>
    <w:rsid w:val="008F5032"/>
    <w:rsid w:val="00944B36"/>
    <w:rsid w:val="009552F9"/>
    <w:rsid w:val="009B0121"/>
    <w:rsid w:val="009C0CB2"/>
    <w:rsid w:val="009C5D17"/>
    <w:rsid w:val="00A73DFC"/>
    <w:rsid w:val="00AC25CF"/>
    <w:rsid w:val="00AD3C22"/>
    <w:rsid w:val="00B6107A"/>
    <w:rsid w:val="00BA4A5B"/>
    <w:rsid w:val="00C15564"/>
    <w:rsid w:val="00C60E6F"/>
    <w:rsid w:val="00C61786"/>
    <w:rsid w:val="00D31AD5"/>
    <w:rsid w:val="00DB2F27"/>
    <w:rsid w:val="00DF555D"/>
    <w:rsid w:val="00E07560"/>
    <w:rsid w:val="00E12538"/>
    <w:rsid w:val="00E1340B"/>
    <w:rsid w:val="00E53F00"/>
    <w:rsid w:val="00E7210B"/>
    <w:rsid w:val="00EC4A46"/>
    <w:rsid w:val="00F17AD4"/>
    <w:rsid w:val="00F344FA"/>
    <w:rsid w:val="00F66D2D"/>
    <w:rsid w:val="00F91DEA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D7AB-4A5B-47F6-9AE3-12202A47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Суханова Юлия Сергеевна</cp:lastModifiedBy>
  <cp:revision>15</cp:revision>
  <dcterms:created xsi:type="dcterms:W3CDTF">2018-11-13T13:59:00Z</dcterms:created>
  <dcterms:modified xsi:type="dcterms:W3CDTF">2019-02-22T07:37:00Z</dcterms:modified>
</cp:coreProperties>
</file>