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района за </w:t>
      </w:r>
      <w:r w:rsidR="00D31AD5">
        <w:rPr>
          <w:b/>
          <w:sz w:val="28"/>
          <w:szCs w:val="28"/>
        </w:rPr>
        <w:t>201</w:t>
      </w:r>
      <w:r w:rsidR="00763403">
        <w:rPr>
          <w:b/>
          <w:sz w:val="28"/>
          <w:szCs w:val="28"/>
        </w:rPr>
        <w:t>9</w:t>
      </w:r>
      <w:r w:rsidR="00D31AD5">
        <w:rPr>
          <w:b/>
          <w:sz w:val="28"/>
          <w:szCs w:val="28"/>
        </w:rPr>
        <w:t xml:space="preserve"> год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71575F" w:rsidRPr="00275C78" w:rsidRDefault="00657CD7" w:rsidP="00806CED">
      <w:pPr>
        <w:ind w:left="15" w:right="15" w:firstLine="69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Среднегодовая ч</w:t>
      </w:r>
      <w:r w:rsidR="0071575F" w:rsidRPr="00275C78">
        <w:rPr>
          <w:rFonts w:eastAsia="Calibri"/>
          <w:color w:val="000000"/>
          <w:sz w:val="28"/>
          <w:szCs w:val="28"/>
        </w:rPr>
        <w:t xml:space="preserve">исленность постоянного населения Холмогорского муниципального района </w:t>
      </w:r>
      <w:r w:rsidR="0071575F">
        <w:rPr>
          <w:rFonts w:eastAsia="Calibri"/>
          <w:color w:val="000000"/>
          <w:sz w:val="28"/>
          <w:szCs w:val="28"/>
        </w:rPr>
        <w:t>на 1 января 20</w:t>
      </w:r>
      <w:r>
        <w:rPr>
          <w:rFonts w:eastAsia="Calibri"/>
          <w:color w:val="000000"/>
          <w:sz w:val="28"/>
          <w:szCs w:val="28"/>
        </w:rPr>
        <w:t>20</w:t>
      </w:r>
      <w:r w:rsidR="0071575F" w:rsidRPr="00275C78">
        <w:rPr>
          <w:rFonts w:eastAsia="Calibri"/>
          <w:color w:val="000000"/>
          <w:sz w:val="28"/>
          <w:szCs w:val="28"/>
        </w:rPr>
        <w:t xml:space="preserve"> год составила </w:t>
      </w:r>
      <w:r w:rsidR="0071575F">
        <w:rPr>
          <w:rFonts w:eastAsia="Calibri"/>
          <w:color w:val="000000"/>
          <w:sz w:val="28"/>
          <w:szCs w:val="28"/>
        </w:rPr>
        <w:t>19</w:t>
      </w:r>
      <w:r>
        <w:rPr>
          <w:rFonts w:eastAsia="Calibri"/>
          <w:color w:val="000000"/>
          <w:sz w:val="28"/>
          <w:szCs w:val="28"/>
        </w:rPr>
        <w:t>,4 тыс.</w:t>
      </w:r>
      <w:r w:rsidR="0071575F" w:rsidRPr="00275C78">
        <w:rPr>
          <w:rFonts w:eastAsia="Calibri"/>
          <w:color w:val="000000"/>
          <w:sz w:val="28"/>
          <w:szCs w:val="28"/>
        </w:rPr>
        <w:t xml:space="preserve"> человек. </w:t>
      </w:r>
    </w:p>
    <w:p w:rsidR="00A0602D" w:rsidRPr="0057023E" w:rsidRDefault="00657CD7" w:rsidP="00806CED">
      <w:pPr>
        <w:ind w:left="15" w:right="15" w:firstLine="69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 2019 год среднегодовая численность населения снизилась на 0,6 тыс. человек.</w:t>
      </w:r>
    </w:p>
    <w:p w:rsidR="003777B5" w:rsidRPr="0057023E" w:rsidRDefault="003777B5" w:rsidP="00806CED">
      <w:pPr>
        <w:ind w:firstLine="694"/>
        <w:jc w:val="both"/>
        <w:rPr>
          <w:sz w:val="28"/>
          <w:szCs w:val="28"/>
        </w:rPr>
      </w:pPr>
      <w:r w:rsidRPr="0057023E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763403" w:rsidRPr="0057023E">
        <w:rPr>
          <w:sz w:val="28"/>
          <w:szCs w:val="28"/>
        </w:rPr>
        <w:t>декабря</w:t>
      </w:r>
      <w:r w:rsidRPr="0057023E">
        <w:rPr>
          <w:sz w:val="28"/>
          <w:szCs w:val="28"/>
        </w:rPr>
        <w:t xml:space="preserve"> 2019 года количество предприятий и организаций на территории муниципального района составило 2</w:t>
      </w:r>
      <w:r w:rsidR="00763403" w:rsidRPr="0057023E">
        <w:rPr>
          <w:sz w:val="28"/>
          <w:szCs w:val="28"/>
        </w:rPr>
        <w:t>18</w:t>
      </w:r>
      <w:r w:rsidRPr="0057023E">
        <w:rPr>
          <w:sz w:val="28"/>
          <w:szCs w:val="28"/>
        </w:rPr>
        <w:t xml:space="preserve"> единиц.</w:t>
      </w:r>
    </w:p>
    <w:p w:rsidR="00AB06F1" w:rsidRPr="00AB06F1" w:rsidRDefault="00AB06F1" w:rsidP="00806CED">
      <w:pPr>
        <w:tabs>
          <w:tab w:val="num" w:pos="0"/>
        </w:tabs>
        <w:ind w:firstLine="694"/>
        <w:jc w:val="both"/>
        <w:rPr>
          <w:sz w:val="28"/>
          <w:szCs w:val="28"/>
        </w:rPr>
      </w:pPr>
      <w:r w:rsidRPr="00AB06F1">
        <w:rPr>
          <w:sz w:val="28"/>
          <w:szCs w:val="28"/>
        </w:rPr>
        <w:t>Частная форма собственности организаций является преобладающей (54,1 %). Доля организаций муниципальной формы собственности составляет 18,3 %, организации государственной формы собственности – 10,6 %.</w:t>
      </w:r>
    </w:p>
    <w:p w:rsidR="00AB06F1" w:rsidRPr="00AB06F1" w:rsidRDefault="00B608C8" w:rsidP="00AB06F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B06F1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3B6B71" wp14:editId="1395A006">
            <wp:simplePos x="0" y="0"/>
            <wp:positionH relativeFrom="column">
              <wp:posOffset>2505710</wp:posOffset>
            </wp:positionH>
            <wp:positionV relativeFrom="paragraph">
              <wp:posOffset>81280</wp:posOffset>
            </wp:positionV>
            <wp:extent cx="3498215" cy="2822575"/>
            <wp:effectExtent l="0" t="0" r="26035" b="1587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6F1" w:rsidRPr="00AB06F1">
        <w:rPr>
          <w:sz w:val="28"/>
          <w:szCs w:val="28"/>
        </w:rPr>
        <w:t xml:space="preserve">В распределении организаций по видам экономической деятельности наибольшую долю составляют сельское хозяйство, охота и лесное хозяйство; (15,1%), государственное управление и обеспечение военной безопасности; социальное обеспечение; (14,7%),  оптовая и розничная торговля; ремонт автотранспортных средств и мотоциклов; (12,8%), операции с недвижимым имуществом (11,5%). </w:t>
      </w:r>
    </w:p>
    <w:p w:rsidR="00AD3C22" w:rsidRDefault="00AD3C22" w:rsidP="00AD3C22">
      <w:pPr>
        <w:jc w:val="both"/>
        <w:rPr>
          <w:sz w:val="28"/>
          <w:szCs w:val="28"/>
        </w:rPr>
      </w:pPr>
      <w:bookmarkStart w:id="0" w:name="_Toc520290998"/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57023E" w:rsidRDefault="00271376" w:rsidP="00763403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201</w:t>
            </w:r>
            <w:r w:rsidR="00763403" w:rsidRPr="0057023E">
              <w:rPr>
                <w:color w:val="000000"/>
                <w:sz w:val="24"/>
                <w:szCs w:val="24"/>
              </w:rPr>
              <w:t>9</w:t>
            </w:r>
            <w:r w:rsidRPr="0057023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57023E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В % к</w:t>
            </w:r>
          </w:p>
          <w:p w:rsidR="00271376" w:rsidRPr="0057023E" w:rsidRDefault="00271376" w:rsidP="00763403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201</w:t>
            </w:r>
            <w:r w:rsidR="00763403" w:rsidRPr="0057023E">
              <w:rPr>
                <w:color w:val="000000"/>
                <w:sz w:val="24"/>
                <w:szCs w:val="24"/>
              </w:rPr>
              <w:t>8</w:t>
            </w:r>
            <w:r w:rsidRPr="0057023E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271376" w:rsidRPr="009552F9" w:rsidTr="00271376">
        <w:trPr>
          <w:cantSplit/>
          <w:trHeight w:val="316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57CD7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104</w:t>
            </w:r>
            <w:r w:rsidR="0055269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763403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763403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110</w:t>
            </w:r>
            <w:r w:rsidR="0055269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763403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63403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86</w:t>
            </w:r>
            <w:r w:rsidR="0055269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9552F9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57CD7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48</w:t>
            </w:r>
            <w:r w:rsidR="0055269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lastRenderedPageBreak/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70</w:t>
            </w:r>
            <w:r w:rsidR="00552699">
              <w:rPr>
                <w:rStyle w:val="a8"/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</w:t>
            </w:r>
            <w:r w:rsidR="006A0F76">
              <w:rPr>
                <w:rStyle w:val="a8"/>
                <w:rFonts w:ascii="Times New Roman" w:hAnsi="Times New Roman"/>
                <w:sz w:val="22"/>
                <w:szCs w:val="22"/>
              </w:rPr>
              <w:t>8</w:t>
            </w:r>
            <w:r w:rsidR="00271376" w:rsidRPr="00BA4A5B">
              <w:rPr>
                <w:rStyle w:val="a8"/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63</w:t>
            </w:r>
            <w:r w:rsidR="00552699">
              <w:rPr>
                <w:rStyle w:val="a8"/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7455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88</w:t>
            </w:r>
            <w:r w:rsidR="00552699">
              <w:rPr>
                <w:rStyle w:val="a8"/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A4A5B" w:rsidP="008B71EB">
            <w:pPr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336AF" w:rsidRDefault="008B71EB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199489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336AF" w:rsidRDefault="008B71EB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112,5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розничной торговли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proofErr w:type="gramStart"/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A0F7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999823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A0F7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23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6A0F7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общественного питания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proofErr w:type="gramStart"/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A0F7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6A0F7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6A0F7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Объем платных услуг населению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proofErr w:type="gramStart"/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A0F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57722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A0F7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68</w:t>
            </w:r>
            <w:r w:rsidR="0055269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D82841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Ввод в действие жилых домов</w:t>
            </w:r>
            <w:r w:rsidRPr="00BA4A5B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BA4A5B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BA4A5B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A4A5B">
              <w:rPr>
                <w:color w:val="000000"/>
                <w:sz w:val="24"/>
                <w:szCs w:val="24"/>
              </w:rPr>
              <w:t xml:space="preserve"> общей площади</w:t>
            </w:r>
            <w:r w:rsidR="00552699">
              <w:rPr>
                <w:color w:val="000000"/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A0F7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A0F7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82</w:t>
            </w:r>
            <w:r w:rsidR="00271376"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8B71EB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BA4A5B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8B71EB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39709,3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6A0F76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A0F7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08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8B71E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6A0F76" w:rsidRDefault="00552699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</w:t>
            </w:r>
            <w:r w:rsidR="006A0F7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,</w:t>
            </w:r>
            <w:r w:rsidR="006A0F7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8B71EB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657CD7">
              <w:rPr>
                <w:spacing w:val="-4"/>
                <w:sz w:val="24"/>
                <w:szCs w:val="24"/>
                <w:vertAlign w:val="superscript"/>
              </w:rPr>
              <w:t xml:space="preserve"> 2) 3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8B71EB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30919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8B71EB" w:rsidP="00D86B84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59,4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8B71EB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="00657CD7">
              <w:rPr>
                <w:spacing w:val="-3"/>
                <w:sz w:val="24"/>
                <w:szCs w:val="24"/>
                <w:vertAlign w:val="superscript"/>
              </w:rPr>
              <w:t>3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)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8B71EB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44368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8B71EB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95,7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8B71EB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363072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57CD7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2,2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8B71EB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8B71EB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</w:p>
        </w:tc>
      </w:tr>
    </w:tbl>
    <w:p w:rsidR="00597DC3" w:rsidRPr="0057023E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1)</w:t>
      </w:r>
      <w:r w:rsidRPr="0057023E">
        <w:rPr>
          <w:rFonts w:ascii="Arial" w:hAnsi="Arial"/>
          <w:sz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57023E">
        <w:rPr>
          <w:rFonts w:ascii="Arial" w:hAnsi="Arial"/>
          <w:color w:val="0070C0"/>
          <w:sz w:val="16"/>
          <w:lang w:val="x-none" w:eastAsia="x-none"/>
        </w:rPr>
        <w:t>.</w:t>
      </w:r>
    </w:p>
    <w:p w:rsidR="00597DC3" w:rsidRPr="00657CD7" w:rsidRDefault="00597DC3" w:rsidP="00657CD7">
      <w:pPr>
        <w:spacing w:line="216" w:lineRule="auto"/>
        <w:ind w:left="142" w:hanging="142"/>
        <w:jc w:val="both"/>
        <w:rPr>
          <w:rFonts w:ascii="Arial" w:hAnsi="Arial"/>
          <w:color w:val="000000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2)</w:t>
      </w:r>
      <w:r w:rsidRPr="0057023E">
        <w:rPr>
          <w:rFonts w:ascii="Arial" w:hAnsi="Arial"/>
          <w:sz w:val="16"/>
          <w:lang w:val="x-none" w:eastAsia="x-none"/>
        </w:rPr>
        <w:t xml:space="preserve"> </w:t>
      </w:r>
      <w:r w:rsidRPr="0057023E">
        <w:rPr>
          <w:rFonts w:ascii="Arial" w:hAnsi="Arial" w:cs="Arial"/>
          <w:sz w:val="16"/>
          <w:szCs w:val="16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57023E" w:rsidRDefault="00657CD7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>
        <w:rPr>
          <w:rFonts w:ascii="Arial" w:hAnsi="Arial"/>
          <w:sz w:val="16"/>
          <w:vertAlign w:val="superscript"/>
          <w:lang w:eastAsia="x-none"/>
        </w:rPr>
        <w:t>3</w:t>
      </w:r>
      <w:r w:rsidR="00597DC3" w:rsidRPr="0057023E">
        <w:rPr>
          <w:rFonts w:ascii="Arial" w:hAnsi="Arial"/>
          <w:sz w:val="16"/>
          <w:vertAlign w:val="superscript"/>
          <w:lang w:val="x-none" w:eastAsia="x-none"/>
        </w:rPr>
        <w:t>)</w:t>
      </w:r>
      <w:r w:rsidR="00597DC3" w:rsidRPr="0057023E">
        <w:rPr>
          <w:rFonts w:ascii="Arial" w:hAnsi="Arial"/>
          <w:sz w:val="16"/>
          <w:lang w:val="x-none" w:eastAsia="x-none"/>
        </w:rPr>
        <w:t xml:space="preserve"> Без субъектов малого предпринимательства, банков, страховых организаций и </w:t>
      </w:r>
      <w:r w:rsidR="00597DC3" w:rsidRPr="0057023E">
        <w:rPr>
          <w:rFonts w:ascii="Arial" w:hAnsi="Arial"/>
          <w:sz w:val="16"/>
          <w:szCs w:val="16"/>
          <w:lang w:val="x-none" w:eastAsia="x-none"/>
        </w:rPr>
        <w:t>государственных (муниципальных)</w:t>
      </w:r>
      <w:r w:rsidR="00597DC3" w:rsidRPr="0057023E">
        <w:rPr>
          <w:rFonts w:ascii="Arial" w:hAnsi="Arial"/>
          <w:sz w:val="16"/>
          <w:lang w:val="x-none" w:eastAsia="x-none"/>
        </w:rPr>
        <w:t xml:space="preserve"> учреждений.</w:t>
      </w:r>
    </w:p>
    <w:p w:rsidR="00597DC3" w:rsidRPr="00597DC3" w:rsidRDefault="00657CD7" w:rsidP="00597DC3">
      <w:pPr>
        <w:ind w:left="142" w:hanging="142"/>
        <w:jc w:val="both"/>
        <w:rPr>
          <w:rFonts w:ascii="Arial" w:hAnsi="Arial"/>
          <w:color w:val="000000"/>
          <w:sz w:val="16"/>
          <w:lang w:val="x-none" w:eastAsia="x-none"/>
        </w:rPr>
      </w:pPr>
      <w:r>
        <w:rPr>
          <w:rFonts w:ascii="Arial" w:hAnsi="Arial"/>
          <w:sz w:val="16"/>
          <w:vertAlign w:val="superscript"/>
          <w:lang w:eastAsia="x-none"/>
        </w:rPr>
        <w:t>4</w:t>
      </w:r>
      <w:r w:rsidR="00597DC3" w:rsidRPr="0057023E">
        <w:rPr>
          <w:rFonts w:ascii="Arial" w:hAnsi="Arial"/>
          <w:sz w:val="16"/>
          <w:vertAlign w:val="superscript"/>
          <w:lang w:val="x-none" w:eastAsia="x-none"/>
        </w:rPr>
        <w:t xml:space="preserve">) </w:t>
      </w:r>
      <w:r w:rsidR="00597DC3" w:rsidRPr="0057023E">
        <w:rPr>
          <w:rFonts w:ascii="Arial" w:hAnsi="Arial"/>
          <w:sz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597DC3" w:rsidRPr="0057023E">
        <w:rPr>
          <w:rFonts w:ascii="Arial" w:hAnsi="Arial"/>
          <w:color w:val="000000"/>
          <w:sz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271376" w:rsidRDefault="00597DC3" w:rsidP="00597DC3">
      <w:pPr>
        <w:jc w:val="both"/>
        <w:rPr>
          <w:sz w:val="28"/>
          <w:szCs w:val="28"/>
        </w:rPr>
      </w:pPr>
      <w:r w:rsidRPr="00597DC3">
        <w:rPr>
          <w:color w:val="000000"/>
          <w:sz w:val="16"/>
        </w:rPr>
        <w:br w:type="page"/>
      </w:r>
    </w:p>
    <w:p w:rsidR="00A80203" w:rsidRDefault="00A80203" w:rsidP="00A80203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Производство промышленной продукции</w:t>
      </w:r>
    </w:p>
    <w:p w:rsidR="00CE78D6" w:rsidRPr="00CE78D6" w:rsidRDefault="00CE78D6" w:rsidP="00CE78D6">
      <w:pPr>
        <w:ind w:firstLine="709"/>
        <w:jc w:val="both"/>
        <w:rPr>
          <w:i/>
          <w:sz w:val="28"/>
          <w:szCs w:val="28"/>
        </w:rPr>
      </w:pPr>
      <w:r w:rsidRPr="00CE78D6">
        <w:rPr>
          <w:b/>
          <w:i/>
          <w:sz w:val="28"/>
          <w:szCs w:val="28"/>
        </w:rPr>
        <w:t>Добыча полезных ископаемых</w:t>
      </w:r>
    </w:p>
    <w:p w:rsidR="00AB06F1" w:rsidRPr="00AB06F1" w:rsidRDefault="00AB06F1" w:rsidP="00AB06F1">
      <w:pPr>
        <w:ind w:firstLine="709"/>
        <w:jc w:val="both"/>
        <w:rPr>
          <w:sz w:val="28"/>
          <w:szCs w:val="28"/>
        </w:rPr>
      </w:pPr>
      <w:r w:rsidRPr="00AB06F1">
        <w:rPr>
          <w:sz w:val="28"/>
          <w:szCs w:val="28"/>
        </w:rPr>
        <w:t xml:space="preserve">На территории Холмогорского района, на базе самого большого в регионе месторождения гипса «Глубокое», </w:t>
      </w:r>
      <w:r w:rsidRPr="00AB06F1">
        <w:rPr>
          <w:color w:val="000000"/>
          <w:sz w:val="28"/>
          <w:szCs w:val="28"/>
        </w:rPr>
        <w:t>осуществляется добыча гипса Архангельским филиалом ООО «</w:t>
      </w:r>
      <w:proofErr w:type="spellStart"/>
      <w:r w:rsidRPr="00AB06F1">
        <w:rPr>
          <w:color w:val="000000"/>
          <w:sz w:val="28"/>
          <w:szCs w:val="28"/>
        </w:rPr>
        <w:t>Кнауф</w:t>
      </w:r>
      <w:proofErr w:type="spellEnd"/>
      <w:r w:rsidRPr="00AB06F1">
        <w:rPr>
          <w:color w:val="000000"/>
          <w:sz w:val="28"/>
          <w:szCs w:val="28"/>
        </w:rPr>
        <w:t xml:space="preserve"> Гипс Колпино». </w:t>
      </w:r>
      <w:r w:rsidRPr="00AB06F1">
        <w:rPr>
          <w:sz w:val="28"/>
          <w:szCs w:val="28"/>
        </w:rPr>
        <w:t>В 2009 году предприятие вышло на проектную мощность (600 тыс. тонн в год). Добытый в карьере гипсовый камень отправляется на предприятие ООО «</w:t>
      </w:r>
      <w:proofErr w:type="spellStart"/>
      <w:r w:rsidRPr="00AB06F1">
        <w:rPr>
          <w:sz w:val="28"/>
          <w:szCs w:val="28"/>
        </w:rPr>
        <w:t>Кнауф</w:t>
      </w:r>
      <w:proofErr w:type="spellEnd"/>
      <w:r w:rsidRPr="00AB06F1">
        <w:rPr>
          <w:sz w:val="28"/>
          <w:szCs w:val="28"/>
        </w:rPr>
        <w:t xml:space="preserve"> Гипс Колпино» в г. Колпино Ленинградской области для производства продукции – гипсокартонных КНАУФ-листов, сухих строительных смесей и </w:t>
      </w:r>
      <w:proofErr w:type="spellStart"/>
      <w:r w:rsidRPr="00AB06F1">
        <w:rPr>
          <w:sz w:val="28"/>
          <w:szCs w:val="28"/>
        </w:rPr>
        <w:t>пазогребневых</w:t>
      </w:r>
      <w:proofErr w:type="spellEnd"/>
      <w:r w:rsidRPr="00AB06F1">
        <w:rPr>
          <w:sz w:val="28"/>
          <w:szCs w:val="28"/>
        </w:rPr>
        <w:t xml:space="preserve"> КНАУФ-</w:t>
      </w:r>
      <w:proofErr w:type="spellStart"/>
      <w:r w:rsidRPr="00AB06F1">
        <w:rPr>
          <w:sz w:val="28"/>
          <w:szCs w:val="28"/>
        </w:rPr>
        <w:t>гипсоплит</w:t>
      </w:r>
      <w:proofErr w:type="spellEnd"/>
      <w:r w:rsidRPr="00AB06F1">
        <w:rPr>
          <w:sz w:val="28"/>
          <w:szCs w:val="28"/>
        </w:rPr>
        <w:t>. Архангельский филиал ООО «</w:t>
      </w:r>
      <w:proofErr w:type="spellStart"/>
      <w:r w:rsidRPr="00AB06F1">
        <w:rPr>
          <w:sz w:val="28"/>
          <w:szCs w:val="28"/>
        </w:rPr>
        <w:t>Кнауф</w:t>
      </w:r>
      <w:proofErr w:type="spellEnd"/>
      <w:r w:rsidRPr="00AB06F1">
        <w:rPr>
          <w:sz w:val="28"/>
          <w:szCs w:val="28"/>
        </w:rPr>
        <w:t xml:space="preserve"> гипс Колпино» включен в перечень системообразующих предприятий Архангельской области. Оно занимает около 90 процентов рынка гипсового камня на Северо-Западе и в натуральном, и в стоимостном выражении.</w:t>
      </w:r>
    </w:p>
    <w:p w:rsidR="00AB06F1" w:rsidRPr="00AB06F1" w:rsidRDefault="00AB06F1" w:rsidP="00AB06F1">
      <w:pPr>
        <w:ind w:firstLine="709"/>
        <w:jc w:val="both"/>
        <w:rPr>
          <w:sz w:val="28"/>
          <w:szCs w:val="28"/>
        </w:rPr>
      </w:pPr>
      <w:r w:rsidRPr="00AB06F1">
        <w:rPr>
          <w:sz w:val="28"/>
          <w:szCs w:val="28"/>
        </w:rPr>
        <w:t>Производство гипсового камня в 2019 году  составило 590 тыс. тонн (95,6 % к 2018г.).</w:t>
      </w:r>
    </w:p>
    <w:p w:rsidR="00CE78D6" w:rsidRPr="00CE78D6" w:rsidRDefault="00CE78D6" w:rsidP="00CE78D6">
      <w:pPr>
        <w:ind w:firstLine="709"/>
        <w:jc w:val="both"/>
        <w:rPr>
          <w:sz w:val="28"/>
          <w:szCs w:val="28"/>
        </w:rPr>
      </w:pPr>
      <w:r w:rsidRPr="00CE78D6">
        <w:rPr>
          <w:sz w:val="28"/>
          <w:szCs w:val="28"/>
        </w:rPr>
        <w:t>Объем отгруженных товаров в 201</w:t>
      </w:r>
      <w:r>
        <w:rPr>
          <w:sz w:val="28"/>
          <w:szCs w:val="28"/>
        </w:rPr>
        <w:t>9</w:t>
      </w:r>
      <w:r w:rsidRPr="00CE78D6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120</w:t>
      </w:r>
      <w:r w:rsidRPr="00CE78D6">
        <w:rPr>
          <w:sz w:val="28"/>
          <w:szCs w:val="28"/>
        </w:rPr>
        <w:t xml:space="preserve"> млн. рублей. </w:t>
      </w:r>
    </w:p>
    <w:p w:rsidR="00CE78D6" w:rsidRPr="00CE78D6" w:rsidRDefault="00CE78D6" w:rsidP="00CE78D6">
      <w:pPr>
        <w:ind w:firstLine="709"/>
        <w:jc w:val="both"/>
        <w:rPr>
          <w:b/>
          <w:i/>
          <w:sz w:val="28"/>
          <w:szCs w:val="28"/>
        </w:rPr>
      </w:pPr>
      <w:r w:rsidRPr="00CE78D6">
        <w:rPr>
          <w:b/>
          <w:i/>
          <w:sz w:val="28"/>
          <w:szCs w:val="28"/>
        </w:rPr>
        <w:t>Обрабатывающие производства.</w:t>
      </w:r>
    </w:p>
    <w:p w:rsidR="00CE78D6" w:rsidRPr="00CE78D6" w:rsidRDefault="00CE78D6" w:rsidP="00CE78D6">
      <w:pPr>
        <w:ind w:firstLine="709"/>
        <w:jc w:val="both"/>
        <w:rPr>
          <w:i/>
          <w:sz w:val="28"/>
          <w:szCs w:val="28"/>
        </w:rPr>
      </w:pPr>
      <w:r w:rsidRPr="00CE78D6">
        <w:rPr>
          <w:i/>
          <w:sz w:val="28"/>
          <w:szCs w:val="28"/>
        </w:rPr>
        <w:t>Производство пищевых продуктов, включая напитки, и табака.</w:t>
      </w:r>
    </w:p>
    <w:p w:rsidR="00CE78D6" w:rsidRPr="00CE78D6" w:rsidRDefault="00CE78D6" w:rsidP="00CE78D6">
      <w:pPr>
        <w:ind w:firstLine="709"/>
        <w:jc w:val="both"/>
        <w:rPr>
          <w:sz w:val="28"/>
          <w:szCs w:val="28"/>
        </w:rPr>
      </w:pPr>
      <w:r w:rsidRPr="00CE78D6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CE78D6">
        <w:rPr>
          <w:sz w:val="28"/>
          <w:szCs w:val="28"/>
        </w:rPr>
        <w:t xml:space="preserve"> году объем отгруженных товаров составил </w:t>
      </w:r>
      <w:r>
        <w:rPr>
          <w:sz w:val="28"/>
          <w:szCs w:val="28"/>
        </w:rPr>
        <w:t>16,6</w:t>
      </w:r>
      <w:r w:rsidRPr="00CE78D6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(110,1 % к уровню 2018 года)</w:t>
      </w:r>
      <w:r w:rsidRPr="00CE78D6">
        <w:rPr>
          <w:sz w:val="28"/>
          <w:szCs w:val="28"/>
        </w:rPr>
        <w:t xml:space="preserve">. </w:t>
      </w:r>
      <w:r>
        <w:rPr>
          <w:sz w:val="28"/>
          <w:szCs w:val="28"/>
        </w:rPr>
        <w:t>Рост</w:t>
      </w:r>
      <w:r w:rsidRPr="00CE78D6">
        <w:rPr>
          <w:sz w:val="28"/>
          <w:szCs w:val="28"/>
        </w:rPr>
        <w:t xml:space="preserve"> производства обусловлен </w:t>
      </w:r>
      <w:r>
        <w:rPr>
          <w:sz w:val="28"/>
          <w:szCs w:val="28"/>
        </w:rPr>
        <w:t xml:space="preserve">увеличением </w:t>
      </w:r>
      <w:r w:rsidRPr="00CE78D6">
        <w:rPr>
          <w:sz w:val="28"/>
          <w:szCs w:val="28"/>
        </w:rPr>
        <w:t>объемов производства хлеба и хлебобулочных изделий</w:t>
      </w:r>
      <w:r>
        <w:rPr>
          <w:sz w:val="28"/>
          <w:szCs w:val="28"/>
        </w:rPr>
        <w:t xml:space="preserve"> на 32,9 %</w:t>
      </w:r>
      <w:r w:rsidRPr="00CE78D6">
        <w:rPr>
          <w:sz w:val="28"/>
          <w:szCs w:val="28"/>
        </w:rPr>
        <w:t xml:space="preserve">. </w:t>
      </w:r>
    </w:p>
    <w:p w:rsidR="00CE78D6" w:rsidRDefault="00CE78D6" w:rsidP="00CE78D6">
      <w:pPr>
        <w:ind w:firstLine="709"/>
        <w:jc w:val="both"/>
        <w:rPr>
          <w:color w:val="000000"/>
          <w:sz w:val="28"/>
          <w:szCs w:val="28"/>
        </w:rPr>
      </w:pPr>
      <w:r w:rsidRPr="00CE78D6">
        <w:rPr>
          <w:sz w:val="28"/>
          <w:szCs w:val="28"/>
        </w:rPr>
        <w:t>Производством хлеба и хлебобулочных изделий на территории Холмогорского муниципального района из организаций занима</w:t>
      </w:r>
      <w:r w:rsidR="00B608C8">
        <w:rPr>
          <w:sz w:val="28"/>
          <w:szCs w:val="28"/>
        </w:rPr>
        <w:t>е</w:t>
      </w:r>
      <w:r w:rsidRPr="00CE78D6">
        <w:rPr>
          <w:sz w:val="28"/>
          <w:szCs w:val="28"/>
        </w:rPr>
        <w:t xml:space="preserve">тся </w:t>
      </w:r>
      <w:r w:rsidRPr="00CE78D6">
        <w:rPr>
          <w:color w:val="000000"/>
          <w:sz w:val="28"/>
          <w:szCs w:val="28"/>
        </w:rPr>
        <w:t>ФКУ ИК-12 УФСИН России по Арханг</w:t>
      </w:r>
      <w:r>
        <w:rPr>
          <w:color w:val="000000"/>
          <w:sz w:val="28"/>
          <w:szCs w:val="28"/>
        </w:rPr>
        <w:t>ельской области.</w:t>
      </w:r>
    </w:p>
    <w:p w:rsidR="00493EEA" w:rsidRPr="00493EEA" w:rsidRDefault="00493EEA" w:rsidP="00493EEA">
      <w:pPr>
        <w:ind w:firstLine="709"/>
        <w:jc w:val="both"/>
        <w:rPr>
          <w:b/>
          <w:i/>
          <w:sz w:val="28"/>
          <w:szCs w:val="28"/>
        </w:rPr>
      </w:pPr>
      <w:r w:rsidRPr="00493EEA">
        <w:rPr>
          <w:b/>
          <w:i/>
          <w:sz w:val="28"/>
          <w:szCs w:val="28"/>
        </w:rPr>
        <w:t>Обеспечение электрической энергией, газом и паром, кондиционирование воздуха</w:t>
      </w:r>
    </w:p>
    <w:p w:rsidR="00493EEA" w:rsidRPr="00493EEA" w:rsidRDefault="007C7AB9" w:rsidP="00493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8D6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CE78D6">
        <w:rPr>
          <w:sz w:val="28"/>
          <w:szCs w:val="28"/>
        </w:rPr>
        <w:t xml:space="preserve"> году объем отгруженных товаров составил</w:t>
      </w:r>
      <w:r>
        <w:rPr>
          <w:sz w:val="28"/>
          <w:szCs w:val="28"/>
        </w:rPr>
        <w:t xml:space="preserve"> </w:t>
      </w:r>
      <w:r w:rsidR="005B6D25">
        <w:rPr>
          <w:sz w:val="28"/>
          <w:szCs w:val="28"/>
        </w:rPr>
        <w:t xml:space="preserve">23,8 </w:t>
      </w:r>
      <w:r w:rsidRPr="00CE78D6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(</w:t>
      </w:r>
      <w:r w:rsidR="005B6D25">
        <w:rPr>
          <w:sz w:val="28"/>
          <w:szCs w:val="28"/>
        </w:rPr>
        <w:t>86,5</w:t>
      </w:r>
      <w:r>
        <w:rPr>
          <w:sz w:val="28"/>
          <w:szCs w:val="28"/>
        </w:rPr>
        <w:t xml:space="preserve"> % к уровню 2018 года)</w:t>
      </w:r>
      <w:r w:rsidRPr="00CE78D6">
        <w:rPr>
          <w:sz w:val="28"/>
          <w:szCs w:val="28"/>
        </w:rPr>
        <w:t xml:space="preserve">. </w:t>
      </w:r>
    </w:p>
    <w:p w:rsidR="005B6D25" w:rsidRPr="005B6D25" w:rsidRDefault="005B6D25" w:rsidP="005B6D2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B6D25">
        <w:rPr>
          <w:b/>
          <w:i/>
          <w:color w:val="000000"/>
          <w:sz w:val="28"/>
          <w:szCs w:val="28"/>
        </w:rPr>
        <w:t>Водоснабжение, водоотведение, организация сбора и утилизации отходов, деятельность по ликвидации загрязнений</w:t>
      </w:r>
    </w:p>
    <w:p w:rsidR="005B6D25" w:rsidRPr="005B6D25" w:rsidRDefault="005B6D25" w:rsidP="005B6D25">
      <w:pPr>
        <w:ind w:firstLine="720"/>
        <w:jc w:val="both"/>
        <w:rPr>
          <w:color w:val="000000"/>
          <w:sz w:val="24"/>
          <w:szCs w:val="24"/>
        </w:rPr>
      </w:pPr>
      <w:r w:rsidRPr="005B6D25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5B6D25">
        <w:rPr>
          <w:sz w:val="28"/>
          <w:szCs w:val="28"/>
        </w:rPr>
        <w:t xml:space="preserve"> году объем отгруженных товаров составил </w:t>
      </w:r>
      <w:r>
        <w:rPr>
          <w:sz w:val="28"/>
          <w:szCs w:val="28"/>
        </w:rPr>
        <w:t>13,5</w:t>
      </w:r>
      <w:r w:rsidR="00B608C8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48,6</w:t>
      </w:r>
      <w:r w:rsidRPr="005B6D25">
        <w:rPr>
          <w:sz w:val="28"/>
          <w:szCs w:val="28"/>
        </w:rPr>
        <w:t xml:space="preserve"> %</w:t>
      </w:r>
      <w:r w:rsidR="00B608C8">
        <w:rPr>
          <w:sz w:val="28"/>
          <w:szCs w:val="28"/>
        </w:rPr>
        <w:t xml:space="preserve"> к уровню 2018 года)</w:t>
      </w:r>
      <w:r w:rsidRPr="005B6D25">
        <w:rPr>
          <w:sz w:val="28"/>
          <w:szCs w:val="28"/>
        </w:rPr>
        <w:t>.</w:t>
      </w:r>
      <w:r w:rsidRPr="005B6D25">
        <w:rPr>
          <w:color w:val="000000"/>
          <w:sz w:val="24"/>
          <w:szCs w:val="24"/>
        </w:rPr>
        <w:t xml:space="preserve"> </w:t>
      </w:r>
    </w:p>
    <w:p w:rsidR="005B6D25" w:rsidRDefault="00273227" w:rsidP="005B6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23E">
        <w:rPr>
          <w:b/>
          <w:sz w:val="28"/>
          <w:szCs w:val="28"/>
        </w:rPr>
        <w:t>Объем инвестиций в основной капитал организаций</w:t>
      </w:r>
      <w:r w:rsidRPr="0057023E">
        <w:rPr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973377" w:rsidRPr="0057023E">
        <w:rPr>
          <w:sz w:val="28"/>
          <w:szCs w:val="28"/>
        </w:rPr>
        <w:t>201</w:t>
      </w:r>
      <w:r w:rsidR="00001E11" w:rsidRPr="0057023E">
        <w:rPr>
          <w:sz w:val="28"/>
          <w:szCs w:val="28"/>
        </w:rPr>
        <w:t>9</w:t>
      </w:r>
      <w:r w:rsidR="00973377" w:rsidRPr="0057023E">
        <w:rPr>
          <w:sz w:val="28"/>
          <w:szCs w:val="28"/>
        </w:rPr>
        <w:t xml:space="preserve"> год</w:t>
      </w:r>
      <w:r w:rsidR="008B71EB">
        <w:rPr>
          <w:sz w:val="28"/>
          <w:szCs w:val="28"/>
        </w:rPr>
        <w:t>у</w:t>
      </w:r>
      <w:r w:rsidRPr="0057023E">
        <w:rPr>
          <w:sz w:val="28"/>
          <w:szCs w:val="28"/>
        </w:rPr>
        <w:t xml:space="preserve"> использован на </w:t>
      </w:r>
      <w:r w:rsidR="008B71EB">
        <w:rPr>
          <w:sz w:val="28"/>
          <w:szCs w:val="28"/>
        </w:rPr>
        <w:t xml:space="preserve">199489 </w:t>
      </w:r>
      <w:r w:rsidRPr="0057023E">
        <w:rPr>
          <w:sz w:val="28"/>
          <w:szCs w:val="28"/>
        </w:rPr>
        <w:t xml:space="preserve">тыс. рублей, что </w:t>
      </w:r>
      <w:r w:rsidR="008B71EB">
        <w:rPr>
          <w:sz w:val="28"/>
          <w:szCs w:val="28"/>
        </w:rPr>
        <w:t>на 12,5 %</w:t>
      </w:r>
      <w:r w:rsidRPr="0057023E">
        <w:rPr>
          <w:sz w:val="28"/>
          <w:szCs w:val="28"/>
        </w:rPr>
        <w:t xml:space="preserve"> </w:t>
      </w:r>
      <w:r w:rsidR="009C0CB2" w:rsidRPr="0057023E">
        <w:rPr>
          <w:sz w:val="28"/>
          <w:szCs w:val="28"/>
        </w:rPr>
        <w:t xml:space="preserve">выше </w:t>
      </w:r>
      <w:r w:rsidRPr="0057023E">
        <w:rPr>
          <w:sz w:val="28"/>
          <w:szCs w:val="28"/>
        </w:rPr>
        <w:t>уровня соответствующего периода предыдущего года в</w:t>
      </w:r>
      <w:r w:rsidR="00001E11" w:rsidRPr="0057023E">
        <w:rPr>
          <w:sz w:val="28"/>
          <w:szCs w:val="28"/>
        </w:rPr>
        <w:t xml:space="preserve"> фактически</w:t>
      </w:r>
      <w:r w:rsidRPr="0057023E">
        <w:rPr>
          <w:sz w:val="28"/>
          <w:szCs w:val="28"/>
        </w:rPr>
        <w:t xml:space="preserve"> действ</w:t>
      </w:r>
      <w:r w:rsidR="002551C9" w:rsidRPr="0057023E">
        <w:rPr>
          <w:sz w:val="28"/>
          <w:szCs w:val="28"/>
        </w:rPr>
        <w:t>овавших</w:t>
      </w:r>
      <w:r w:rsidRPr="0057023E">
        <w:rPr>
          <w:sz w:val="28"/>
          <w:szCs w:val="28"/>
        </w:rPr>
        <w:t xml:space="preserve"> ценах.</w:t>
      </w:r>
      <w:r w:rsidR="005B6D25" w:rsidRPr="005B6D25">
        <w:rPr>
          <w:sz w:val="28"/>
          <w:szCs w:val="28"/>
        </w:rPr>
        <w:t xml:space="preserve"> </w:t>
      </w:r>
    </w:p>
    <w:p w:rsidR="005B6D25" w:rsidRPr="005B6D25" w:rsidRDefault="005B6D25" w:rsidP="005B6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D25">
        <w:rPr>
          <w:sz w:val="28"/>
          <w:szCs w:val="28"/>
        </w:rPr>
        <w:t>Наибольшую долю инвестиций в основной капитал от общего объема занима</w:t>
      </w:r>
      <w:r w:rsidR="00B608C8">
        <w:rPr>
          <w:sz w:val="28"/>
          <w:szCs w:val="28"/>
        </w:rPr>
        <w:t>ю</w:t>
      </w:r>
      <w:r w:rsidRPr="005B6D25">
        <w:rPr>
          <w:sz w:val="28"/>
          <w:szCs w:val="28"/>
        </w:rPr>
        <w:t xml:space="preserve">т </w:t>
      </w:r>
      <w:r w:rsidR="00B608C8">
        <w:rPr>
          <w:sz w:val="28"/>
          <w:szCs w:val="28"/>
        </w:rPr>
        <w:t xml:space="preserve">предприятия </w:t>
      </w:r>
      <w:r w:rsidRPr="005B6D25">
        <w:rPr>
          <w:sz w:val="28"/>
          <w:szCs w:val="28"/>
        </w:rPr>
        <w:t>лесно</w:t>
      </w:r>
      <w:r w:rsidR="00B608C8">
        <w:rPr>
          <w:sz w:val="28"/>
          <w:szCs w:val="28"/>
        </w:rPr>
        <w:t>го</w:t>
      </w:r>
      <w:r w:rsidRPr="005B6D25">
        <w:rPr>
          <w:sz w:val="28"/>
          <w:szCs w:val="28"/>
        </w:rPr>
        <w:t xml:space="preserve"> хозяйств</w:t>
      </w:r>
      <w:r w:rsidR="00B608C8">
        <w:rPr>
          <w:sz w:val="28"/>
          <w:szCs w:val="28"/>
        </w:rPr>
        <w:t>а</w:t>
      </w:r>
      <w:r w:rsidRPr="005B6D25">
        <w:rPr>
          <w:sz w:val="28"/>
          <w:szCs w:val="28"/>
        </w:rPr>
        <w:t xml:space="preserve">. На их долю приходится </w:t>
      </w:r>
      <w:r w:rsidR="00233256">
        <w:rPr>
          <w:sz w:val="28"/>
          <w:szCs w:val="28"/>
        </w:rPr>
        <w:t>70</w:t>
      </w:r>
      <w:r w:rsidRPr="005B6D25">
        <w:rPr>
          <w:sz w:val="28"/>
          <w:szCs w:val="28"/>
        </w:rPr>
        <w:t xml:space="preserve"> % всех инвестиций. </w:t>
      </w:r>
    </w:p>
    <w:p w:rsidR="005B6D25" w:rsidRPr="005B6D25" w:rsidRDefault="005B6D25" w:rsidP="005B6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D25">
        <w:rPr>
          <w:sz w:val="28"/>
          <w:szCs w:val="28"/>
        </w:rPr>
        <w:t xml:space="preserve">В структуре источников финансирования инвестиций собственные средства составили </w:t>
      </w:r>
      <w:r w:rsidR="00233256">
        <w:rPr>
          <w:sz w:val="28"/>
          <w:szCs w:val="28"/>
        </w:rPr>
        <w:t>8</w:t>
      </w:r>
      <w:r w:rsidRPr="005B6D25">
        <w:rPr>
          <w:sz w:val="28"/>
          <w:szCs w:val="28"/>
        </w:rPr>
        <w:t>,</w:t>
      </w:r>
      <w:r w:rsidR="00233256">
        <w:rPr>
          <w:sz w:val="28"/>
          <w:szCs w:val="28"/>
        </w:rPr>
        <w:t>2</w:t>
      </w:r>
      <w:r w:rsidRPr="005B6D25">
        <w:rPr>
          <w:sz w:val="28"/>
          <w:szCs w:val="28"/>
        </w:rPr>
        <w:t>%, привлеченные – 9</w:t>
      </w:r>
      <w:r w:rsidR="00233256">
        <w:rPr>
          <w:sz w:val="28"/>
          <w:szCs w:val="28"/>
        </w:rPr>
        <w:t>1</w:t>
      </w:r>
      <w:r w:rsidRPr="005B6D25">
        <w:rPr>
          <w:sz w:val="28"/>
          <w:szCs w:val="28"/>
        </w:rPr>
        <w:t>,</w:t>
      </w:r>
      <w:r w:rsidR="00233256">
        <w:rPr>
          <w:sz w:val="28"/>
          <w:szCs w:val="28"/>
        </w:rPr>
        <w:t>8</w:t>
      </w:r>
      <w:r w:rsidRPr="005B6D25">
        <w:rPr>
          <w:sz w:val="28"/>
          <w:szCs w:val="28"/>
        </w:rPr>
        <w:t>%.</w:t>
      </w:r>
    </w:p>
    <w:p w:rsidR="00844CDF" w:rsidRDefault="00844CDF" w:rsidP="00806EF2">
      <w:pPr>
        <w:ind w:firstLine="709"/>
        <w:jc w:val="both"/>
        <w:rPr>
          <w:b/>
          <w:sz w:val="28"/>
          <w:szCs w:val="28"/>
        </w:rPr>
      </w:pPr>
    </w:p>
    <w:p w:rsidR="00844CDF" w:rsidRDefault="00844CDF" w:rsidP="00806EF2">
      <w:pPr>
        <w:ind w:firstLine="709"/>
        <w:jc w:val="both"/>
        <w:rPr>
          <w:b/>
          <w:sz w:val="28"/>
          <w:szCs w:val="28"/>
        </w:rPr>
      </w:pPr>
    </w:p>
    <w:p w:rsidR="00233256" w:rsidRDefault="00273227" w:rsidP="00806EF2">
      <w:pPr>
        <w:ind w:firstLine="709"/>
        <w:jc w:val="both"/>
        <w:rPr>
          <w:sz w:val="28"/>
          <w:szCs w:val="28"/>
        </w:rPr>
      </w:pPr>
      <w:r w:rsidRPr="0057023E">
        <w:rPr>
          <w:b/>
          <w:sz w:val="28"/>
          <w:szCs w:val="28"/>
        </w:rPr>
        <w:lastRenderedPageBreak/>
        <w:t>Жилищное строительство</w:t>
      </w:r>
      <w:r w:rsidRPr="0057023E">
        <w:rPr>
          <w:sz w:val="28"/>
          <w:szCs w:val="28"/>
        </w:rPr>
        <w:t xml:space="preserve"> </w:t>
      </w:r>
    </w:p>
    <w:p w:rsidR="00DB2F27" w:rsidRPr="0057023E" w:rsidRDefault="00DB2F27" w:rsidP="00806EF2">
      <w:pPr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201</w:t>
      </w:r>
      <w:r w:rsidR="00001E11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году за счет всех источников фина</w:t>
      </w:r>
      <w:r w:rsidR="0053225C" w:rsidRPr="0057023E">
        <w:rPr>
          <w:sz w:val="28"/>
          <w:szCs w:val="28"/>
        </w:rPr>
        <w:t xml:space="preserve">нсирования введено </w:t>
      </w:r>
      <w:r w:rsidR="00001E11" w:rsidRPr="0057023E">
        <w:rPr>
          <w:sz w:val="28"/>
          <w:szCs w:val="28"/>
        </w:rPr>
        <w:t>7830</w:t>
      </w:r>
      <w:r w:rsidR="0053225C" w:rsidRPr="0057023E">
        <w:rPr>
          <w:sz w:val="28"/>
          <w:szCs w:val="28"/>
        </w:rPr>
        <w:t xml:space="preserve"> кв</w:t>
      </w:r>
      <w:r w:rsidR="00001E11" w:rsidRPr="0057023E">
        <w:rPr>
          <w:sz w:val="28"/>
          <w:szCs w:val="28"/>
        </w:rPr>
        <w:t>адратных</w:t>
      </w:r>
      <w:r w:rsidR="0053225C" w:rsidRPr="0057023E">
        <w:rPr>
          <w:sz w:val="28"/>
          <w:szCs w:val="28"/>
        </w:rPr>
        <w:t xml:space="preserve"> мет</w:t>
      </w:r>
      <w:r w:rsidRPr="0057023E">
        <w:rPr>
          <w:sz w:val="28"/>
          <w:szCs w:val="28"/>
        </w:rPr>
        <w:t>р</w:t>
      </w:r>
      <w:r w:rsidR="00001E11" w:rsidRPr="0057023E">
        <w:rPr>
          <w:sz w:val="28"/>
          <w:szCs w:val="28"/>
        </w:rPr>
        <w:t>ов</w:t>
      </w:r>
      <w:r w:rsidRPr="0057023E">
        <w:rPr>
          <w:sz w:val="28"/>
          <w:szCs w:val="28"/>
        </w:rPr>
        <w:t xml:space="preserve"> </w:t>
      </w:r>
      <w:r w:rsidR="00001E11" w:rsidRPr="0057023E">
        <w:rPr>
          <w:sz w:val="28"/>
          <w:szCs w:val="28"/>
        </w:rPr>
        <w:t>общей площади жилых домов</w:t>
      </w:r>
      <w:r w:rsidRPr="0057023E">
        <w:rPr>
          <w:sz w:val="28"/>
          <w:szCs w:val="28"/>
        </w:rPr>
        <w:t xml:space="preserve">, что </w:t>
      </w:r>
      <w:r w:rsidR="00001E11" w:rsidRPr="0057023E">
        <w:rPr>
          <w:sz w:val="28"/>
          <w:szCs w:val="28"/>
        </w:rPr>
        <w:t>на</w:t>
      </w:r>
      <w:r w:rsidRPr="0057023E">
        <w:rPr>
          <w:sz w:val="28"/>
          <w:szCs w:val="28"/>
        </w:rPr>
        <w:t xml:space="preserve"> </w:t>
      </w:r>
      <w:r w:rsidR="00001E11" w:rsidRPr="0057023E">
        <w:rPr>
          <w:sz w:val="28"/>
          <w:szCs w:val="28"/>
        </w:rPr>
        <w:t>17,9</w:t>
      </w:r>
      <w:r w:rsidR="00B608C8">
        <w:rPr>
          <w:sz w:val="28"/>
          <w:szCs w:val="28"/>
        </w:rPr>
        <w:t xml:space="preserve"> </w:t>
      </w:r>
      <w:r w:rsidR="00001E11" w:rsidRPr="0057023E">
        <w:rPr>
          <w:sz w:val="28"/>
          <w:szCs w:val="28"/>
        </w:rPr>
        <w:t>%</w:t>
      </w:r>
      <w:r w:rsidRPr="0057023E">
        <w:rPr>
          <w:sz w:val="28"/>
          <w:szCs w:val="28"/>
        </w:rPr>
        <w:t xml:space="preserve"> </w:t>
      </w:r>
      <w:r w:rsidR="00001E11" w:rsidRPr="0057023E">
        <w:rPr>
          <w:sz w:val="28"/>
          <w:szCs w:val="28"/>
        </w:rPr>
        <w:t>меньше</w:t>
      </w:r>
      <w:r w:rsidRPr="0057023E">
        <w:rPr>
          <w:sz w:val="28"/>
          <w:szCs w:val="28"/>
        </w:rPr>
        <w:t xml:space="preserve"> уровня 201</w:t>
      </w:r>
      <w:r w:rsidR="00001E11" w:rsidRPr="0057023E">
        <w:rPr>
          <w:sz w:val="28"/>
          <w:szCs w:val="28"/>
        </w:rPr>
        <w:t>8</w:t>
      </w:r>
      <w:r w:rsidRPr="0057023E">
        <w:rPr>
          <w:sz w:val="28"/>
          <w:szCs w:val="28"/>
        </w:rPr>
        <w:t xml:space="preserve"> года. Из общего ввода жилья индивидуальными застройщиками введено </w:t>
      </w:r>
      <w:r w:rsidR="00001E11" w:rsidRPr="0057023E">
        <w:rPr>
          <w:sz w:val="28"/>
          <w:szCs w:val="28"/>
        </w:rPr>
        <w:t>7830</w:t>
      </w:r>
      <w:r w:rsidRPr="0057023E">
        <w:rPr>
          <w:sz w:val="28"/>
          <w:szCs w:val="28"/>
        </w:rPr>
        <w:t xml:space="preserve"> кв</w:t>
      </w:r>
      <w:r w:rsidR="00001E11" w:rsidRPr="0057023E">
        <w:rPr>
          <w:sz w:val="28"/>
          <w:szCs w:val="28"/>
        </w:rPr>
        <w:t>адратных</w:t>
      </w:r>
      <w:r w:rsidRPr="0057023E">
        <w:rPr>
          <w:sz w:val="28"/>
          <w:szCs w:val="28"/>
        </w:rPr>
        <w:t xml:space="preserve"> метр</w:t>
      </w:r>
      <w:r w:rsidR="00001E11" w:rsidRPr="0057023E">
        <w:rPr>
          <w:sz w:val="28"/>
          <w:szCs w:val="28"/>
        </w:rPr>
        <w:t>ов</w:t>
      </w:r>
      <w:r w:rsidRPr="0057023E">
        <w:rPr>
          <w:sz w:val="28"/>
          <w:szCs w:val="28"/>
        </w:rPr>
        <w:t xml:space="preserve"> (100,0% от общего ввода и </w:t>
      </w:r>
      <w:r w:rsidR="00001E11" w:rsidRPr="0057023E">
        <w:rPr>
          <w:sz w:val="28"/>
          <w:szCs w:val="28"/>
        </w:rPr>
        <w:t>83,3%</w:t>
      </w:r>
      <w:r w:rsidRPr="0057023E">
        <w:rPr>
          <w:sz w:val="28"/>
          <w:szCs w:val="28"/>
        </w:rPr>
        <w:t xml:space="preserve"> к уровню 201</w:t>
      </w:r>
      <w:r w:rsidR="00001E11" w:rsidRPr="0057023E">
        <w:rPr>
          <w:sz w:val="28"/>
          <w:szCs w:val="28"/>
        </w:rPr>
        <w:t>8</w:t>
      </w:r>
      <w:r w:rsidRPr="0057023E">
        <w:rPr>
          <w:sz w:val="28"/>
          <w:szCs w:val="28"/>
        </w:rPr>
        <w:t xml:space="preserve"> года).</w:t>
      </w:r>
    </w:p>
    <w:p w:rsidR="00233256" w:rsidRDefault="00273227" w:rsidP="00806EF2">
      <w:pPr>
        <w:ind w:firstLine="709"/>
        <w:jc w:val="both"/>
        <w:rPr>
          <w:b/>
          <w:sz w:val="28"/>
          <w:szCs w:val="28"/>
        </w:rPr>
      </w:pPr>
      <w:r w:rsidRPr="0057023E">
        <w:rPr>
          <w:b/>
          <w:sz w:val="28"/>
          <w:szCs w:val="28"/>
        </w:rPr>
        <w:t>Строительная деятельность</w:t>
      </w:r>
    </w:p>
    <w:p w:rsidR="00DB2F27" w:rsidRPr="0057023E" w:rsidRDefault="00DB2F27" w:rsidP="00806EF2">
      <w:pPr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proofErr w:type="gramStart"/>
      <w:r w:rsidRPr="0057023E">
        <w:rPr>
          <w:sz w:val="28"/>
          <w:szCs w:val="28"/>
          <w:vertAlign w:val="superscript"/>
        </w:rPr>
        <w:t>1</w:t>
      </w:r>
      <w:proofErr w:type="gramEnd"/>
      <w:r w:rsidRPr="0057023E">
        <w:rPr>
          <w:sz w:val="28"/>
          <w:szCs w:val="28"/>
          <w:vertAlign w:val="superscript"/>
        </w:rPr>
        <w:t>)</w:t>
      </w:r>
      <w:r w:rsidRPr="0057023E">
        <w:rPr>
          <w:sz w:val="28"/>
          <w:szCs w:val="28"/>
        </w:rPr>
        <w:t>, в 201</w:t>
      </w:r>
      <w:r w:rsidR="002551C9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году </w:t>
      </w:r>
      <w:r w:rsidR="002551C9" w:rsidRPr="0057023E">
        <w:rPr>
          <w:sz w:val="28"/>
          <w:szCs w:val="28"/>
        </w:rPr>
        <w:t>в 2,7 раза</w:t>
      </w:r>
      <w:r w:rsidRPr="0057023E">
        <w:rPr>
          <w:sz w:val="28"/>
          <w:szCs w:val="28"/>
        </w:rPr>
        <w:t xml:space="preserve"> </w:t>
      </w:r>
      <w:r w:rsidR="002551C9" w:rsidRPr="0057023E">
        <w:rPr>
          <w:sz w:val="28"/>
          <w:szCs w:val="28"/>
        </w:rPr>
        <w:t>больше</w:t>
      </w:r>
      <w:r w:rsidRPr="0057023E">
        <w:rPr>
          <w:sz w:val="28"/>
          <w:szCs w:val="28"/>
        </w:rPr>
        <w:t xml:space="preserve"> уровня предыдущего года в сопоставимых ценах. </w:t>
      </w:r>
    </w:p>
    <w:p w:rsidR="00233256" w:rsidRDefault="00273227" w:rsidP="00806EF2">
      <w:pPr>
        <w:ind w:firstLine="709"/>
        <w:jc w:val="both"/>
        <w:rPr>
          <w:b/>
          <w:sz w:val="28"/>
          <w:szCs w:val="28"/>
        </w:rPr>
      </w:pPr>
      <w:r w:rsidRPr="0057023E">
        <w:rPr>
          <w:b/>
          <w:sz w:val="28"/>
          <w:szCs w:val="28"/>
        </w:rPr>
        <w:t>Сельское хозяйство</w:t>
      </w:r>
    </w:p>
    <w:p w:rsidR="00233256" w:rsidRPr="00233256" w:rsidRDefault="00233256" w:rsidP="00806EF2">
      <w:pPr>
        <w:ind w:firstLine="709"/>
        <w:jc w:val="both"/>
        <w:rPr>
          <w:sz w:val="28"/>
          <w:szCs w:val="28"/>
        </w:rPr>
      </w:pPr>
      <w:r w:rsidRPr="00233256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233256">
        <w:rPr>
          <w:sz w:val="28"/>
          <w:szCs w:val="28"/>
        </w:rPr>
        <w:t xml:space="preserve"> году производство продукции сельского хозяйства в действующих ценах в хозяйствах всех категорий составило </w:t>
      </w:r>
      <w:r>
        <w:rPr>
          <w:sz w:val="28"/>
          <w:szCs w:val="28"/>
        </w:rPr>
        <w:t xml:space="preserve">843,2 </w:t>
      </w:r>
      <w:r w:rsidRPr="00233256">
        <w:rPr>
          <w:sz w:val="28"/>
          <w:szCs w:val="28"/>
        </w:rPr>
        <w:t xml:space="preserve">млн. рублей. Индекс производства составил </w:t>
      </w:r>
      <w:r>
        <w:rPr>
          <w:sz w:val="28"/>
          <w:szCs w:val="28"/>
        </w:rPr>
        <w:t>84,6</w:t>
      </w:r>
      <w:r w:rsidRPr="00233256">
        <w:rPr>
          <w:sz w:val="28"/>
          <w:szCs w:val="28"/>
        </w:rPr>
        <w:t xml:space="preserve"> % к 201</w:t>
      </w:r>
      <w:r>
        <w:rPr>
          <w:sz w:val="28"/>
          <w:szCs w:val="28"/>
        </w:rPr>
        <w:t>8</w:t>
      </w:r>
      <w:r w:rsidRPr="00233256">
        <w:rPr>
          <w:sz w:val="28"/>
          <w:szCs w:val="28"/>
        </w:rPr>
        <w:t xml:space="preserve"> году. </w:t>
      </w:r>
    </w:p>
    <w:p w:rsidR="00233256" w:rsidRPr="00233256" w:rsidRDefault="00233256" w:rsidP="00806EF2">
      <w:pPr>
        <w:ind w:firstLine="709"/>
        <w:jc w:val="both"/>
        <w:rPr>
          <w:sz w:val="28"/>
          <w:szCs w:val="28"/>
        </w:rPr>
      </w:pPr>
      <w:r w:rsidRPr="00233256">
        <w:rPr>
          <w:sz w:val="28"/>
          <w:szCs w:val="28"/>
        </w:rPr>
        <w:t xml:space="preserve">В структуре производства продукции сельского хозяйства </w:t>
      </w:r>
      <w:r>
        <w:rPr>
          <w:sz w:val="28"/>
          <w:szCs w:val="28"/>
        </w:rPr>
        <w:t>61,1</w:t>
      </w:r>
      <w:r w:rsidRPr="00233256">
        <w:rPr>
          <w:sz w:val="28"/>
          <w:szCs w:val="28"/>
        </w:rPr>
        <w:t xml:space="preserve">% объема производимой продукции занимает продукция растениеводства и </w:t>
      </w:r>
      <w:r>
        <w:rPr>
          <w:sz w:val="28"/>
          <w:szCs w:val="28"/>
        </w:rPr>
        <w:t>38,9</w:t>
      </w:r>
      <w:r w:rsidRPr="00233256">
        <w:rPr>
          <w:sz w:val="28"/>
          <w:szCs w:val="28"/>
        </w:rPr>
        <w:t xml:space="preserve"> % </w:t>
      </w:r>
      <w:r w:rsidR="00A80203">
        <w:rPr>
          <w:sz w:val="28"/>
          <w:szCs w:val="28"/>
        </w:rPr>
        <w:t xml:space="preserve">- </w:t>
      </w:r>
      <w:r w:rsidRPr="00233256">
        <w:rPr>
          <w:sz w:val="28"/>
          <w:szCs w:val="28"/>
        </w:rPr>
        <w:t>продукция животноводства.</w:t>
      </w:r>
    </w:p>
    <w:p w:rsidR="00233256" w:rsidRPr="00233256" w:rsidRDefault="00233256" w:rsidP="00806EF2">
      <w:pPr>
        <w:ind w:firstLine="709"/>
        <w:jc w:val="both"/>
        <w:rPr>
          <w:sz w:val="28"/>
          <w:szCs w:val="28"/>
        </w:rPr>
      </w:pPr>
      <w:r w:rsidRPr="00233256">
        <w:rPr>
          <w:sz w:val="28"/>
          <w:szCs w:val="28"/>
        </w:rPr>
        <w:t>Индекс производства продукции растениеводства в 201</w:t>
      </w:r>
      <w:r>
        <w:rPr>
          <w:sz w:val="28"/>
          <w:szCs w:val="28"/>
        </w:rPr>
        <w:t>9</w:t>
      </w:r>
      <w:r w:rsidRPr="00233256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82,4</w:t>
      </w:r>
      <w:r w:rsidRPr="00233256">
        <w:rPr>
          <w:sz w:val="28"/>
          <w:szCs w:val="28"/>
        </w:rPr>
        <w:t xml:space="preserve"> %, продукции животноводства – </w:t>
      </w:r>
      <w:r>
        <w:rPr>
          <w:sz w:val="28"/>
          <w:szCs w:val="28"/>
        </w:rPr>
        <w:t>88,6</w:t>
      </w:r>
      <w:r w:rsidRPr="00233256">
        <w:rPr>
          <w:sz w:val="28"/>
          <w:szCs w:val="28"/>
        </w:rPr>
        <w:t xml:space="preserve"> %.</w:t>
      </w:r>
    </w:p>
    <w:p w:rsidR="00233256" w:rsidRPr="0057023E" w:rsidRDefault="00233256" w:rsidP="00806EF2">
      <w:pPr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Посевная площадь сельскохозяйственных культур в хозяйствах всех категорий в 2019 году увеличилась по сравнению с 2018 годом на 0,5% и составила 3565 гектаров. При этом посевы картофеля и овощей сократились на 1,2%, кормовых культур – возросли на 1,3%.</w:t>
      </w:r>
    </w:p>
    <w:p w:rsidR="00233256" w:rsidRPr="00233256" w:rsidRDefault="00233256" w:rsidP="00806EF2">
      <w:pPr>
        <w:ind w:firstLine="709"/>
        <w:jc w:val="both"/>
        <w:rPr>
          <w:sz w:val="28"/>
          <w:szCs w:val="28"/>
        </w:rPr>
      </w:pPr>
      <w:r w:rsidRPr="00233256">
        <w:rPr>
          <w:sz w:val="28"/>
          <w:szCs w:val="28"/>
        </w:rPr>
        <w:t xml:space="preserve">Сбор картофеля в </w:t>
      </w:r>
      <w:r>
        <w:rPr>
          <w:sz w:val="28"/>
          <w:szCs w:val="28"/>
        </w:rPr>
        <w:t>хозяйствах всех категорий снизился</w:t>
      </w:r>
      <w:r w:rsidRPr="00233256">
        <w:rPr>
          <w:sz w:val="28"/>
          <w:szCs w:val="28"/>
        </w:rPr>
        <w:t xml:space="preserve"> </w:t>
      </w:r>
      <w:r w:rsidR="00806EF2">
        <w:rPr>
          <w:sz w:val="28"/>
          <w:szCs w:val="28"/>
        </w:rPr>
        <w:t>на 23,6%</w:t>
      </w:r>
      <w:r w:rsidRPr="00233256">
        <w:rPr>
          <w:sz w:val="28"/>
          <w:szCs w:val="28"/>
        </w:rPr>
        <w:t xml:space="preserve">, овощей – </w:t>
      </w:r>
      <w:r w:rsidR="00806EF2">
        <w:rPr>
          <w:sz w:val="28"/>
          <w:szCs w:val="28"/>
        </w:rPr>
        <w:t>на 29,4%</w:t>
      </w:r>
      <w:r w:rsidRPr="00233256">
        <w:rPr>
          <w:sz w:val="28"/>
          <w:szCs w:val="28"/>
        </w:rPr>
        <w:t>.</w:t>
      </w:r>
    </w:p>
    <w:p w:rsidR="00233256" w:rsidRPr="00233256" w:rsidRDefault="00233256" w:rsidP="00806EF2">
      <w:pPr>
        <w:ind w:firstLine="709"/>
        <w:jc w:val="both"/>
        <w:rPr>
          <w:sz w:val="28"/>
          <w:szCs w:val="28"/>
        </w:rPr>
      </w:pPr>
      <w:r w:rsidRPr="00233256">
        <w:rPr>
          <w:sz w:val="28"/>
          <w:szCs w:val="28"/>
        </w:rPr>
        <w:t>Производство молока в 201</w:t>
      </w:r>
      <w:r w:rsidR="00806EF2">
        <w:rPr>
          <w:sz w:val="28"/>
          <w:szCs w:val="28"/>
        </w:rPr>
        <w:t>9</w:t>
      </w:r>
      <w:r w:rsidRPr="00233256">
        <w:rPr>
          <w:sz w:val="28"/>
          <w:szCs w:val="28"/>
        </w:rPr>
        <w:t xml:space="preserve"> году составило </w:t>
      </w:r>
      <w:r w:rsidR="00806EF2">
        <w:rPr>
          <w:sz w:val="28"/>
          <w:szCs w:val="28"/>
        </w:rPr>
        <w:t>9240,2</w:t>
      </w:r>
      <w:r w:rsidRPr="00233256">
        <w:rPr>
          <w:sz w:val="28"/>
          <w:szCs w:val="28"/>
        </w:rPr>
        <w:t xml:space="preserve"> тонн</w:t>
      </w:r>
      <w:r w:rsidR="00806EF2">
        <w:rPr>
          <w:sz w:val="28"/>
          <w:szCs w:val="28"/>
        </w:rPr>
        <w:t>ы</w:t>
      </w:r>
      <w:r w:rsidRPr="00233256">
        <w:rPr>
          <w:sz w:val="28"/>
          <w:szCs w:val="28"/>
        </w:rPr>
        <w:t xml:space="preserve"> или </w:t>
      </w:r>
      <w:r w:rsidR="00806EF2">
        <w:rPr>
          <w:sz w:val="28"/>
          <w:szCs w:val="28"/>
        </w:rPr>
        <w:t>88,9</w:t>
      </w:r>
      <w:r w:rsidRPr="00233256">
        <w:rPr>
          <w:sz w:val="28"/>
          <w:szCs w:val="28"/>
        </w:rPr>
        <w:t xml:space="preserve"> % к 201</w:t>
      </w:r>
      <w:r w:rsidR="00806EF2">
        <w:rPr>
          <w:sz w:val="28"/>
          <w:szCs w:val="28"/>
        </w:rPr>
        <w:t>8</w:t>
      </w:r>
      <w:r w:rsidRPr="00233256">
        <w:rPr>
          <w:sz w:val="28"/>
          <w:szCs w:val="28"/>
        </w:rPr>
        <w:t xml:space="preserve"> году. Снижение производства молока произошло во всех категориях хозяйств. </w:t>
      </w:r>
    </w:p>
    <w:p w:rsidR="00233256" w:rsidRPr="00233256" w:rsidRDefault="00233256" w:rsidP="00806EF2">
      <w:pPr>
        <w:widowControl w:val="0"/>
        <w:ind w:firstLine="709"/>
        <w:jc w:val="both"/>
        <w:rPr>
          <w:sz w:val="28"/>
          <w:szCs w:val="28"/>
        </w:rPr>
      </w:pPr>
      <w:r w:rsidRPr="00233256">
        <w:rPr>
          <w:sz w:val="28"/>
          <w:szCs w:val="28"/>
        </w:rPr>
        <w:t xml:space="preserve">На долю сельскохозяйственных организаций приходится </w:t>
      </w:r>
      <w:r w:rsidR="00806EF2">
        <w:rPr>
          <w:sz w:val="28"/>
          <w:szCs w:val="28"/>
        </w:rPr>
        <w:t>48,7</w:t>
      </w:r>
      <w:r w:rsidRPr="00233256">
        <w:rPr>
          <w:sz w:val="28"/>
          <w:szCs w:val="28"/>
        </w:rPr>
        <w:t xml:space="preserve">% производимой в районе продукции. Доля продукции хозяйств населения в общем объеме составила 32,4 % и имеет тенденцию к снижению. Происходит постепенное увеличение доли продукции, производимой крестьянско-фермерскими хозяйствами и индивидуальными предпринимателями (доля в общем объеме составляет </w:t>
      </w:r>
      <w:r w:rsidR="00806EF2">
        <w:rPr>
          <w:sz w:val="28"/>
          <w:szCs w:val="28"/>
        </w:rPr>
        <w:t>18,9</w:t>
      </w:r>
      <w:r w:rsidRPr="00233256">
        <w:rPr>
          <w:sz w:val="28"/>
          <w:szCs w:val="28"/>
        </w:rPr>
        <w:t xml:space="preserve"> %). </w:t>
      </w:r>
    </w:p>
    <w:p w:rsidR="00350028" w:rsidRPr="0057023E" w:rsidRDefault="00273227" w:rsidP="00806EF2">
      <w:pPr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 xml:space="preserve"> </w:t>
      </w:r>
      <w:r w:rsidR="00350028" w:rsidRPr="0057023E">
        <w:rPr>
          <w:sz w:val="28"/>
          <w:szCs w:val="28"/>
        </w:rPr>
        <w:t>В сельскохозяйственных организациях на 1 января 20</w:t>
      </w:r>
      <w:r w:rsidR="00F27B1B" w:rsidRPr="0057023E">
        <w:rPr>
          <w:sz w:val="28"/>
          <w:szCs w:val="28"/>
        </w:rPr>
        <w:t>20</w:t>
      </w:r>
      <w:r w:rsidR="00350028" w:rsidRPr="0057023E">
        <w:rPr>
          <w:sz w:val="28"/>
          <w:szCs w:val="28"/>
        </w:rPr>
        <w:t xml:space="preserve"> года по сравнению с соответ</w:t>
      </w:r>
      <w:r w:rsidR="0053225C" w:rsidRPr="0057023E">
        <w:rPr>
          <w:sz w:val="28"/>
          <w:szCs w:val="28"/>
        </w:rPr>
        <w:t>ствующей датой 201</w:t>
      </w:r>
      <w:r w:rsidR="00F27B1B" w:rsidRPr="0057023E">
        <w:rPr>
          <w:sz w:val="28"/>
          <w:szCs w:val="28"/>
        </w:rPr>
        <w:t>9</w:t>
      </w:r>
      <w:r w:rsidR="0053225C" w:rsidRPr="0057023E">
        <w:rPr>
          <w:sz w:val="28"/>
          <w:szCs w:val="28"/>
        </w:rPr>
        <w:t xml:space="preserve"> года поголо</w:t>
      </w:r>
      <w:r w:rsidR="00350028" w:rsidRPr="0057023E">
        <w:rPr>
          <w:sz w:val="28"/>
          <w:szCs w:val="28"/>
        </w:rPr>
        <w:t xml:space="preserve">вье крупного рогатого скота </w:t>
      </w:r>
      <w:r w:rsidR="00F27B1B" w:rsidRPr="0057023E">
        <w:rPr>
          <w:sz w:val="28"/>
          <w:szCs w:val="28"/>
        </w:rPr>
        <w:t>увеличилось</w:t>
      </w:r>
      <w:r w:rsidR="00350028" w:rsidRPr="0057023E">
        <w:rPr>
          <w:sz w:val="28"/>
          <w:szCs w:val="28"/>
        </w:rPr>
        <w:t xml:space="preserve"> на </w:t>
      </w:r>
      <w:r w:rsidR="00F27B1B" w:rsidRPr="0057023E">
        <w:rPr>
          <w:sz w:val="28"/>
          <w:szCs w:val="28"/>
        </w:rPr>
        <w:t>1</w:t>
      </w:r>
      <w:r w:rsidR="00350028" w:rsidRPr="0057023E">
        <w:rPr>
          <w:sz w:val="28"/>
          <w:szCs w:val="28"/>
        </w:rPr>
        <w:t>,</w:t>
      </w:r>
      <w:r w:rsidR="00F27B1B" w:rsidRPr="0057023E">
        <w:rPr>
          <w:sz w:val="28"/>
          <w:szCs w:val="28"/>
        </w:rPr>
        <w:t>7</w:t>
      </w:r>
      <w:r w:rsidR="00350028" w:rsidRPr="0057023E">
        <w:rPr>
          <w:sz w:val="28"/>
          <w:szCs w:val="28"/>
        </w:rPr>
        <w:t xml:space="preserve">%, </w:t>
      </w:r>
      <w:r w:rsidR="00F27B1B" w:rsidRPr="0057023E">
        <w:rPr>
          <w:sz w:val="28"/>
          <w:szCs w:val="28"/>
        </w:rPr>
        <w:t>поголовье коров осталось на уровне прошлого года</w:t>
      </w:r>
      <w:r w:rsidR="00350028" w:rsidRPr="0057023E">
        <w:rPr>
          <w:sz w:val="28"/>
          <w:szCs w:val="28"/>
        </w:rPr>
        <w:t>.</w:t>
      </w:r>
    </w:p>
    <w:p w:rsidR="00350028" w:rsidRPr="0057023E" w:rsidRDefault="00350028" w:rsidP="00806EF2">
      <w:pPr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сельскохозяйственных организациях в 201</w:t>
      </w:r>
      <w:r w:rsidR="00F27B1B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году по сравнению с соответствующим периодом предыдущего года производство скота и птицы на убой (в живом весе) </w:t>
      </w:r>
      <w:r w:rsidR="00F27B1B" w:rsidRPr="0057023E">
        <w:rPr>
          <w:sz w:val="28"/>
          <w:szCs w:val="28"/>
        </w:rPr>
        <w:t>сократилось на</w:t>
      </w:r>
      <w:r w:rsidRPr="0057023E">
        <w:rPr>
          <w:sz w:val="28"/>
          <w:szCs w:val="28"/>
        </w:rPr>
        <w:t xml:space="preserve"> </w:t>
      </w:r>
      <w:r w:rsidR="00F27B1B" w:rsidRPr="0057023E">
        <w:rPr>
          <w:sz w:val="28"/>
          <w:szCs w:val="28"/>
        </w:rPr>
        <w:t>29</w:t>
      </w:r>
      <w:r w:rsidRPr="0057023E">
        <w:rPr>
          <w:sz w:val="28"/>
          <w:szCs w:val="28"/>
        </w:rPr>
        <w:t>,</w:t>
      </w:r>
      <w:r w:rsidR="00F27B1B" w:rsidRPr="0057023E">
        <w:rPr>
          <w:sz w:val="28"/>
          <w:szCs w:val="28"/>
        </w:rPr>
        <w:t>1%</w:t>
      </w:r>
      <w:r w:rsidRPr="0057023E">
        <w:rPr>
          <w:sz w:val="28"/>
          <w:szCs w:val="28"/>
        </w:rPr>
        <w:t>, производство молока</w:t>
      </w:r>
      <w:r w:rsidR="00F27B1B" w:rsidRPr="0057023E">
        <w:rPr>
          <w:sz w:val="28"/>
          <w:szCs w:val="28"/>
        </w:rPr>
        <w:t xml:space="preserve"> - </w:t>
      </w:r>
      <w:r w:rsidRPr="0057023E">
        <w:rPr>
          <w:sz w:val="28"/>
          <w:szCs w:val="28"/>
        </w:rPr>
        <w:t xml:space="preserve">на </w:t>
      </w:r>
      <w:r w:rsidR="00F27B1B" w:rsidRPr="0057023E">
        <w:rPr>
          <w:sz w:val="28"/>
          <w:szCs w:val="28"/>
        </w:rPr>
        <w:t>11</w:t>
      </w:r>
      <w:r w:rsidRPr="0057023E">
        <w:rPr>
          <w:sz w:val="28"/>
          <w:szCs w:val="28"/>
        </w:rPr>
        <w:t>,</w:t>
      </w:r>
      <w:r w:rsidR="00F27B1B" w:rsidRPr="0057023E">
        <w:rPr>
          <w:sz w:val="28"/>
          <w:szCs w:val="28"/>
        </w:rPr>
        <w:t>6</w:t>
      </w:r>
      <w:r w:rsidRPr="0057023E">
        <w:rPr>
          <w:sz w:val="28"/>
          <w:szCs w:val="28"/>
        </w:rPr>
        <w:t>%.</w:t>
      </w:r>
    </w:p>
    <w:p w:rsidR="00350028" w:rsidRPr="0057023E" w:rsidRDefault="00A73DFC" w:rsidP="00806EF2">
      <w:pPr>
        <w:ind w:firstLine="709"/>
        <w:jc w:val="both"/>
        <w:rPr>
          <w:sz w:val="28"/>
          <w:szCs w:val="28"/>
        </w:rPr>
      </w:pPr>
      <w:r w:rsidRPr="0057023E">
        <w:rPr>
          <w:b/>
          <w:sz w:val="28"/>
          <w:szCs w:val="28"/>
        </w:rPr>
        <w:t>Оборот розничной торговли</w:t>
      </w:r>
      <w:r w:rsidRPr="0057023E">
        <w:rPr>
          <w:sz w:val="28"/>
          <w:szCs w:val="28"/>
        </w:rPr>
        <w:t xml:space="preserve"> </w:t>
      </w:r>
      <w:r w:rsidR="00350028" w:rsidRPr="0057023E">
        <w:rPr>
          <w:sz w:val="28"/>
          <w:szCs w:val="28"/>
        </w:rPr>
        <w:t>по организациям</w:t>
      </w:r>
      <w:proofErr w:type="gramStart"/>
      <w:r w:rsidR="00350028" w:rsidRPr="0057023E">
        <w:rPr>
          <w:sz w:val="28"/>
          <w:szCs w:val="28"/>
          <w:vertAlign w:val="superscript"/>
        </w:rPr>
        <w:t>1</w:t>
      </w:r>
      <w:proofErr w:type="gramEnd"/>
      <w:r w:rsidR="00350028" w:rsidRPr="0057023E">
        <w:rPr>
          <w:sz w:val="28"/>
          <w:szCs w:val="28"/>
          <w:vertAlign w:val="superscript"/>
        </w:rPr>
        <w:t>)</w:t>
      </w:r>
      <w:r w:rsidR="00350028" w:rsidRPr="0057023E">
        <w:rPr>
          <w:sz w:val="28"/>
          <w:szCs w:val="28"/>
        </w:rPr>
        <w:t xml:space="preserve"> составил </w:t>
      </w:r>
      <w:r w:rsidR="00F27B1B" w:rsidRPr="0057023E">
        <w:rPr>
          <w:sz w:val="28"/>
          <w:szCs w:val="28"/>
        </w:rPr>
        <w:t>999823</w:t>
      </w:r>
      <w:r w:rsidR="00350028" w:rsidRPr="0057023E">
        <w:rPr>
          <w:sz w:val="28"/>
          <w:szCs w:val="28"/>
        </w:rPr>
        <w:t xml:space="preserve"> тыс. рублей, что в сопоставимых ценах на </w:t>
      </w:r>
      <w:r w:rsidR="00F27B1B" w:rsidRPr="0057023E">
        <w:rPr>
          <w:sz w:val="28"/>
          <w:szCs w:val="28"/>
        </w:rPr>
        <w:t>23</w:t>
      </w:r>
      <w:r w:rsidR="00350028" w:rsidRPr="0057023E">
        <w:rPr>
          <w:sz w:val="28"/>
          <w:szCs w:val="28"/>
        </w:rPr>
        <w:t>,</w:t>
      </w:r>
      <w:r w:rsidR="00F27B1B" w:rsidRPr="0057023E">
        <w:rPr>
          <w:sz w:val="28"/>
          <w:szCs w:val="28"/>
        </w:rPr>
        <w:t>9</w:t>
      </w:r>
      <w:r w:rsidR="00350028" w:rsidRPr="0057023E">
        <w:rPr>
          <w:sz w:val="28"/>
          <w:szCs w:val="28"/>
        </w:rPr>
        <w:t>% выше, чем за 201</w:t>
      </w:r>
      <w:r w:rsidR="00F27B1B" w:rsidRPr="0057023E">
        <w:rPr>
          <w:sz w:val="28"/>
          <w:szCs w:val="28"/>
        </w:rPr>
        <w:t>8</w:t>
      </w:r>
      <w:r w:rsidR="00350028" w:rsidRPr="0057023E">
        <w:rPr>
          <w:sz w:val="28"/>
          <w:szCs w:val="28"/>
        </w:rPr>
        <w:t xml:space="preserve"> год. В макроструктуре оборота розничной торговли организаций преобладающую </w:t>
      </w:r>
      <w:r w:rsidR="00350028" w:rsidRPr="0057023E">
        <w:rPr>
          <w:sz w:val="28"/>
          <w:szCs w:val="28"/>
        </w:rPr>
        <w:lastRenderedPageBreak/>
        <w:t xml:space="preserve">долю занимают непродовольственные товары – </w:t>
      </w:r>
      <w:r w:rsidR="00F27B1B" w:rsidRPr="0057023E">
        <w:rPr>
          <w:sz w:val="28"/>
          <w:szCs w:val="28"/>
        </w:rPr>
        <w:t>53</w:t>
      </w:r>
      <w:r w:rsidR="00350028" w:rsidRPr="0057023E">
        <w:rPr>
          <w:sz w:val="28"/>
          <w:szCs w:val="28"/>
        </w:rPr>
        <w:t>,</w:t>
      </w:r>
      <w:r w:rsidR="00F27B1B" w:rsidRPr="0057023E">
        <w:rPr>
          <w:sz w:val="28"/>
          <w:szCs w:val="28"/>
        </w:rPr>
        <w:t>3</w:t>
      </w:r>
      <w:r w:rsidR="00350028" w:rsidRPr="0057023E">
        <w:rPr>
          <w:sz w:val="28"/>
          <w:szCs w:val="28"/>
        </w:rPr>
        <w:t>%. Кроме того, организациями общественного питания</w:t>
      </w:r>
      <w:proofErr w:type="gramStart"/>
      <w:r w:rsidR="00350028" w:rsidRPr="0057023E">
        <w:rPr>
          <w:sz w:val="28"/>
          <w:szCs w:val="28"/>
          <w:vertAlign w:val="superscript"/>
        </w:rPr>
        <w:t>1</w:t>
      </w:r>
      <w:proofErr w:type="gramEnd"/>
      <w:r w:rsidR="00350028" w:rsidRPr="0057023E">
        <w:rPr>
          <w:sz w:val="28"/>
          <w:szCs w:val="28"/>
          <w:vertAlign w:val="superscript"/>
        </w:rPr>
        <w:t>)</w:t>
      </w:r>
      <w:r w:rsidR="00350028" w:rsidRPr="0057023E">
        <w:rPr>
          <w:sz w:val="28"/>
          <w:szCs w:val="28"/>
        </w:rPr>
        <w:t xml:space="preserve"> реализовано продукции на 1</w:t>
      </w:r>
      <w:r w:rsidR="00F27B1B" w:rsidRPr="0057023E">
        <w:rPr>
          <w:sz w:val="28"/>
          <w:szCs w:val="28"/>
        </w:rPr>
        <w:t>9140</w:t>
      </w:r>
      <w:r w:rsidR="00350028" w:rsidRPr="0057023E">
        <w:rPr>
          <w:sz w:val="28"/>
          <w:szCs w:val="28"/>
        </w:rPr>
        <w:t xml:space="preserve"> тыс. рублей (на </w:t>
      </w:r>
      <w:r w:rsidR="00F27B1B" w:rsidRPr="0057023E">
        <w:rPr>
          <w:sz w:val="28"/>
          <w:szCs w:val="28"/>
        </w:rPr>
        <w:t>1</w:t>
      </w:r>
      <w:r w:rsidR="00350028" w:rsidRPr="0057023E">
        <w:rPr>
          <w:sz w:val="28"/>
          <w:szCs w:val="28"/>
        </w:rPr>
        <w:t>,</w:t>
      </w:r>
      <w:r w:rsidR="00F27B1B" w:rsidRPr="0057023E">
        <w:rPr>
          <w:sz w:val="28"/>
          <w:szCs w:val="28"/>
        </w:rPr>
        <w:t>5</w:t>
      </w:r>
      <w:r w:rsidR="00350028" w:rsidRPr="0057023E">
        <w:rPr>
          <w:sz w:val="28"/>
          <w:szCs w:val="28"/>
        </w:rPr>
        <w:t>% больше уровня 201</w:t>
      </w:r>
      <w:r w:rsidR="00F27B1B" w:rsidRPr="0057023E">
        <w:rPr>
          <w:sz w:val="28"/>
          <w:szCs w:val="28"/>
        </w:rPr>
        <w:t>8</w:t>
      </w:r>
      <w:r w:rsidR="00350028" w:rsidRPr="0057023E">
        <w:rPr>
          <w:sz w:val="28"/>
          <w:szCs w:val="28"/>
        </w:rPr>
        <w:t xml:space="preserve"> года в сопоставимых ценах).</w:t>
      </w:r>
    </w:p>
    <w:p w:rsidR="00806EF2" w:rsidRDefault="00A73DFC" w:rsidP="00806EF2">
      <w:pPr>
        <w:ind w:firstLine="709"/>
        <w:jc w:val="both"/>
        <w:rPr>
          <w:sz w:val="28"/>
          <w:szCs w:val="28"/>
        </w:rPr>
      </w:pPr>
      <w:r w:rsidRPr="0057023E">
        <w:rPr>
          <w:b/>
          <w:sz w:val="28"/>
          <w:szCs w:val="28"/>
        </w:rPr>
        <w:t>Услуги</w:t>
      </w:r>
      <w:r w:rsidRPr="0057023E">
        <w:rPr>
          <w:sz w:val="28"/>
          <w:szCs w:val="28"/>
        </w:rPr>
        <w:t xml:space="preserve"> </w:t>
      </w:r>
    </w:p>
    <w:p w:rsidR="00A73DFC" w:rsidRDefault="00350028" w:rsidP="00806EF2">
      <w:pPr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Объем платных услуг, оказанных населению в 201</w:t>
      </w:r>
      <w:r w:rsidR="009E06B8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году организациями</w:t>
      </w:r>
      <w:proofErr w:type="gramStart"/>
      <w:r w:rsidRPr="0057023E">
        <w:rPr>
          <w:sz w:val="28"/>
          <w:szCs w:val="28"/>
          <w:vertAlign w:val="superscript"/>
        </w:rPr>
        <w:t>1</w:t>
      </w:r>
      <w:proofErr w:type="gramEnd"/>
      <w:r w:rsidRPr="0057023E">
        <w:rPr>
          <w:sz w:val="28"/>
          <w:szCs w:val="28"/>
          <w:vertAlign w:val="superscript"/>
        </w:rPr>
        <w:t>)</w:t>
      </w:r>
      <w:r w:rsidRPr="0057023E">
        <w:rPr>
          <w:sz w:val="28"/>
          <w:szCs w:val="28"/>
        </w:rPr>
        <w:t xml:space="preserve">, составил </w:t>
      </w:r>
      <w:r w:rsidR="009E06B8" w:rsidRPr="0057023E">
        <w:rPr>
          <w:sz w:val="28"/>
          <w:szCs w:val="28"/>
        </w:rPr>
        <w:t>57722</w:t>
      </w:r>
      <w:r w:rsidRPr="0057023E">
        <w:rPr>
          <w:sz w:val="28"/>
          <w:szCs w:val="28"/>
        </w:rPr>
        <w:t xml:space="preserve"> тыс. рублей, что в сопоставимых ценах на </w:t>
      </w:r>
      <w:r w:rsidR="009E06B8" w:rsidRPr="0057023E">
        <w:rPr>
          <w:sz w:val="28"/>
          <w:szCs w:val="28"/>
        </w:rPr>
        <w:t>31</w:t>
      </w:r>
      <w:r w:rsidRPr="0057023E">
        <w:rPr>
          <w:sz w:val="28"/>
          <w:szCs w:val="28"/>
        </w:rPr>
        <w:t>,</w:t>
      </w:r>
      <w:r w:rsidR="009E06B8" w:rsidRPr="0057023E">
        <w:rPr>
          <w:sz w:val="28"/>
          <w:szCs w:val="28"/>
        </w:rPr>
        <w:t>5</w:t>
      </w:r>
      <w:r w:rsidRPr="0057023E">
        <w:rPr>
          <w:sz w:val="28"/>
          <w:szCs w:val="28"/>
        </w:rPr>
        <w:t>% меньше уровня 201</w:t>
      </w:r>
      <w:r w:rsidR="009E06B8" w:rsidRPr="0057023E">
        <w:rPr>
          <w:sz w:val="28"/>
          <w:szCs w:val="28"/>
        </w:rPr>
        <w:t>8</w:t>
      </w:r>
      <w:r w:rsidRPr="0057023E">
        <w:rPr>
          <w:sz w:val="28"/>
          <w:szCs w:val="28"/>
        </w:rPr>
        <w:t xml:space="preserve"> года.</w:t>
      </w:r>
    </w:p>
    <w:p w:rsidR="00806EF2" w:rsidRDefault="00C738D9" w:rsidP="00806EF2">
      <w:pPr>
        <w:pStyle w:val="ad"/>
        <w:ind w:firstLine="709"/>
        <w:jc w:val="both"/>
        <w:rPr>
          <w:b/>
          <w:sz w:val="28"/>
          <w:szCs w:val="28"/>
        </w:rPr>
      </w:pPr>
      <w:r w:rsidRPr="0057023E">
        <w:rPr>
          <w:b/>
          <w:sz w:val="28"/>
          <w:szCs w:val="28"/>
        </w:rPr>
        <w:t>Финансы</w:t>
      </w:r>
    </w:p>
    <w:p w:rsidR="00190055" w:rsidRPr="0057023E" w:rsidRDefault="0071575F" w:rsidP="00806EF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738D9" w:rsidRPr="0071575F">
        <w:rPr>
          <w:sz w:val="28"/>
          <w:szCs w:val="28"/>
        </w:rPr>
        <w:t xml:space="preserve">а 2019 года в </w:t>
      </w:r>
      <w:r w:rsidR="00806EF2">
        <w:rPr>
          <w:sz w:val="28"/>
          <w:szCs w:val="28"/>
        </w:rPr>
        <w:t xml:space="preserve">консолидированный </w:t>
      </w:r>
      <w:r w:rsidR="00C738D9" w:rsidRPr="0071575F">
        <w:rPr>
          <w:sz w:val="28"/>
          <w:szCs w:val="28"/>
        </w:rPr>
        <w:t xml:space="preserve">бюджет </w:t>
      </w:r>
      <w:r w:rsidR="0054738C">
        <w:rPr>
          <w:sz w:val="28"/>
          <w:szCs w:val="28"/>
        </w:rPr>
        <w:t xml:space="preserve">Холмогорского </w:t>
      </w:r>
      <w:r w:rsidR="00C738D9" w:rsidRPr="0071575F">
        <w:rPr>
          <w:sz w:val="28"/>
          <w:szCs w:val="28"/>
        </w:rPr>
        <w:t xml:space="preserve">муниципального района поступило </w:t>
      </w:r>
      <w:r w:rsidRPr="0071575F">
        <w:rPr>
          <w:sz w:val="28"/>
          <w:szCs w:val="28"/>
        </w:rPr>
        <w:t>1055930,6</w:t>
      </w:r>
      <w:r w:rsidR="00C738D9" w:rsidRPr="0071575F">
        <w:rPr>
          <w:sz w:val="28"/>
          <w:szCs w:val="28"/>
        </w:rPr>
        <w:t xml:space="preserve"> тыс. рублей, израсходовано из бюджета </w:t>
      </w:r>
      <w:r w:rsidRPr="0071575F">
        <w:rPr>
          <w:sz w:val="28"/>
          <w:szCs w:val="28"/>
        </w:rPr>
        <w:t>1020677,1</w:t>
      </w:r>
      <w:r w:rsidR="00C738D9" w:rsidRPr="0071575F">
        <w:rPr>
          <w:sz w:val="28"/>
          <w:szCs w:val="28"/>
        </w:rPr>
        <w:t xml:space="preserve"> тыс. рублей, профицит бюджета составил </w:t>
      </w:r>
      <w:r w:rsidRPr="0071575F">
        <w:rPr>
          <w:sz w:val="28"/>
          <w:szCs w:val="28"/>
        </w:rPr>
        <w:t>32253,5</w:t>
      </w:r>
      <w:r w:rsidR="00C738D9" w:rsidRPr="0071575F">
        <w:rPr>
          <w:sz w:val="28"/>
          <w:szCs w:val="28"/>
        </w:rPr>
        <w:t xml:space="preserve"> тыс. рублей</w:t>
      </w:r>
      <w:r w:rsidR="00350028" w:rsidRPr="0071575F">
        <w:rPr>
          <w:sz w:val="28"/>
          <w:szCs w:val="28"/>
        </w:rPr>
        <w:t>.</w:t>
      </w:r>
    </w:p>
    <w:p w:rsidR="00350028" w:rsidRPr="0057023E" w:rsidRDefault="00190055" w:rsidP="00806EF2">
      <w:pPr>
        <w:pStyle w:val="ad"/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 xml:space="preserve">За 2019 </w:t>
      </w:r>
      <w:proofErr w:type="gramStart"/>
      <w:r w:rsidRPr="0057023E">
        <w:rPr>
          <w:sz w:val="28"/>
          <w:szCs w:val="28"/>
        </w:rPr>
        <w:t>год</w:t>
      </w:r>
      <w:proofErr w:type="gramEnd"/>
      <w:r w:rsidR="00657CD7">
        <w:rPr>
          <w:sz w:val="28"/>
          <w:szCs w:val="28"/>
        </w:rPr>
        <w:t xml:space="preserve"> </w:t>
      </w:r>
      <w:r w:rsidRPr="0057023E">
        <w:rPr>
          <w:sz w:val="28"/>
          <w:szCs w:val="28"/>
        </w:rPr>
        <w:t xml:space="preserve">сальдированный финансовый результат организаций (без субъектов малого предпринимательства, банков, страховых организаций и государственных (муниципальных) учреждений) составил </w:t>
      </w:r>
      <w:r w:rsidR="00657CD7">
        <w:rPr>
          <w:sz w:val="28"/>
          <w:szCs w:val="28"/>
        </w:rPr>
        <w:t>30919 тыс. рублей прибыли. Две организации получили прибыль, одна организация получила убыток</w:t>
      </w:r>
      <w:r w:rsidRPr="0057023E">
        <w:rPr>
          <w:sz w:val="28"/>
          <w:szCs w:val="28"/>
        </w:rPr>
        <w:t>.</w:t>
      </w:r>
    </w:p>
    <w:p w:rsidR="00350028" w:rsidRPr="0057023E" w:rsidRDefault="00A73DFC" w:rsidP="00806EF2">
      <w:pPr>
        <w:spacing w:before="60"/>
        <w:ind w:firstLine="709"/>
        <w:jc w:val="both"/>
        <w:rPr>
          <w:sz w:val="28"/>
          <w:szCs w:val="28"/>
        </w:rPr>
      </w:pPr>
      <w:r w:rsidRPr="0057023E">
        <w:rPr>
          <w:b/>
          <w:sz w:val="28"/>
          <w:szCs w:val="28"/>
        </w:rPr>
        <w:t>Суммарная задолженность по обязательствам</w:t>
      </w:r>
      <w:r w:rsidRPr="0057023E">
        <w:rPr>
          <w:sz w:val="28"/>
          <w:szCs w:val="28"/>
        </w:rPr>
        <w:t xml:space="preserve"> </w:t>
      </w:r>
      <w:r w:rsidR="00350028" w:rsidRPr="0057023E">
        <w:rPr>
          <w:sz w:val="28"/>
          <w:szCs w:val="28"/>
        </w:rPr>
        <w:t>на конец</w:t>
      </w:r>
      <w:r w:rsidR="00063C2D" w:rsidRPr="0057023E">
        <w:rPr>
          <w:sz w:val="28"/>
          <w:szCs w:val="28"/>
        </w:rPr>
        <w:t xml:space="preserve"> </w:t>
      </w:r>
      <w:r w:rsidR="00657CD7">
        <w:rPr>
          <w:sz w:val="28"/>
          <w:szCs w:val="28"/>
        </w:rPr>
        <w:t>декабря</w:t>
      </w:r>
      <w:r w:rsidR="00350028" w:rsidRPr="0057023E">
        <w:rPr>
          <w:sz w:val="28"/>
          <w:szCs w:val="28"/>
        </w:rPr>
        <w:t xml:space="preserve"> 201</w:t>
      </w:r>
      <w:r w:rsidR="00063C2D" w:rsidRPr="0057023E">
        <w:rPr>
          <w:sz w:val="28"/>
          <w:szCs w:val="28"/>
        </w:rPr>
        <w:t>9</w:t>
      </w:r>
      <w:r w:rsidR="00350028" w:rsidRPr="0057023E">
        <w:rPr>
          <w:sz w:val="28"/>
          <w:szCs w:val="28"/>
        </w:rPr>
        <w:t xml:space="preserve"> года достигла </w:t>
      </w:r>
      <w:r w:rsidR="00657CD7">
        <w:rPr>
          <w:sz w:val="28"/>
          <w:szCs w:val="28"/>
        </w:rPr>
        <w:t>407440</w:t>
      </w:r>
      <w:r w:rsidR="00350028" w:rsidRPr="0057023E">
        <w:rPr>
          <w:sz w:val="28"/>
          <w:szCs w:val="28"/>
        </w:rPr>
        <w:t xml:space="preserve"> тыс. рублей, в том числе кредиторская – </w:t>
      </w:r>
      <w:r w:rsidR="00657CD7">
        <w:rPr>
          <w:sz w:val="28"/>
          <w:szCs w:val="28"/>
        </w:rPr>
        <w:t>363072</w:t>
      </w:r>
      <w:r w:rsidR="00350028" w:rsidRPr="0057023E">
        <w:rPr>
          <w:sz w:val="28"/>
          <w:szCs w:val="28"/>
        </w:rPr>
        <w:t xml:space="preserve"> тыс. рублей. Размер деби</w:t>
      </w:r>
      <w:r w:rsidR="00973377" w:rsidRPr="0057023E">
        <w:rPr>
          <w:sz w:val="28"/>
          <w:szCs w:val="28"/>
        </w:rPr>
        <w:t xml:space="preserve">торской задолженности составил </w:t>
      </w:r>
      <w:r w:rsidR="00657CD7">
        <w:rPr>
          <w:sz w:val="28"/>
          <w:szCs w:val="28"/>
        </w:rPr>
        <w:t>44368</w:t>
      </w:r>
      <w:r w:rsidR="00350028" w:rsidRPr="0057023E">
        <w:rPr>
          <w:sz w:val="28"/>
          <w:szCs w:val="28"/>
        </w:rPr>
        <w:t xml:space="preserve"> тыс. рублей.</w:t>
      </w:r>
    </w:p>
    <w:p w:rsidR="00806EF2" w:rsidRDefault="00A73DFC" w:rsidP="00806EF2">
      <w:pPr>
        <w:spacing w:before="60"/>
        <w:ind w:firstLine="709"/>
        <w:jc w:val="both"/>
        <w:rPr>
          <w:b/>
          <w:sz w:val="28"/>
          <w:szCs w:val="28"/>
        </w:rPr>
      </w:pPr>
      <w:r w:rsidRPr="0057023E">
        <w:rPr>
          <w:b/>
          <w:sz w:val="28"/>
          <w:szCs w:val="28"/>
        </w:rPr>
        <w:t>Оплата труда</w:t>
      </w:r>
    </w:p>
    <w:p w:rsidR="006F09F4" w:rsidRDefault="006F09F4" w:rsidP="006F09F4">
      <w:pPr>
        <w:ind w:firstLine="709"/>
        <w:jc w:val="both"/>
        <w:rPr>
          <w:color w:val="000000"/>
          <w:sz w:val="28"/>
          <w:szCs w:val="28"/>
        </w:rPr>
      </w:pPr>
      <w:r w:rsidRPr="006F09F4">
        <w:rPr>
          <w:color w:val="000000"/>
          <w:sz w:val="28"/>
          <w:szCs w:val="28"/>
        </w:rPr>
        <w:t>Среднемесячная начисленная заработная плата в расчете на одного работника увеличилась по сравнению с соответствующим периодом 2018 года на 8,8% и составила 39709,3 рублей. </w:t>
      </w:r>
    </w:p>
    <w:p w:rsidR="006F09F4" w:rsidRPr="006F09F4" w:rsidRDefault="006F09F4" w:rsidP="006F09F4">
      <w:pPr>
        <w:ind w:firstLine="709"/>
        <w:jc w:val="both"/>
        <w:rPr>
          <w:sz w:val="28"/>
          <w:szCs w:val="28"/>
        </w:rPr>
      </w:pPr>
      <w:r w:rsidRPr="006F09F4">
        <w:rPr>
          <w:color w:val="000000"/>
          <w:sz w:val="28"/>
          <w:szCs w:val="28"/>
        </w:rPr>
        <w:t xml:space="preserve">Рост заработной платы в районе сложился, в основном по видам деятельности, как сельское и лесное хозяйство (115,7 % к уровню 2018 г.), транспортировка и хранение (113,5 % к 2018г.), торговля оптовая и розничная (113,2 % к 2018г.), деятельность профессиональная, научная и техническая (111,8 %), здравоохранение (112,3 % к уровню 2018г.).  </w:t>
      </w:r>
    </w:p>
    <w:p w:rsidR="00806EF2" w:rsidRDefault="00A73DFC" w:rsidP="00806EF2">
      <w:pPr>
        <w:spacing w:before="60"/>
        <w:ind w:firstLine="709"/>
        <w:jc w:val="both"/>
        <w:rPr>
          <w:b/>
          <w:sz w:val="28"/>
          <w:szCs w:val="28"/>
        </w:rPr>
      </w:pPr>
      <w:r w:rsidRPr="0057023E">
        <w:rPr>
          <w:b/>
          <w:sz w:val="28"/>
          <w:szCs w:val="28"/>
        </w:rPr>
        <w:t>Занятость населения</w:t>
      </w:r>
    </w:p>
    <w:p w:rsidR="00806EF2" w:rsidRPr="00806EF2" w:rsidRDefault="00806EF2" w:rsidP="00806EF2">
      <w:pPr>
        <w:ind w:firstLine="709"/>
        <w:jc w:val="both"/>
        <w:rPr>
          <w:sz w:val="28"/>
          <w:szCs w:val="28"/>
        </w:rPr>
      </w:pPr>
      <w:r w:rsidRPr="00806EF2">
        <w:rPr>
          <w:sz w:val="28"/>
          <w:szCs w:val="28"/>
        </w:rPr>
        <w:t>Среднесписочная численность работников крупных и средних организаций в 201</w:t>
      </w:r>
      <w:r>
        <w:rPr>
          <w:sz w:val="28"/>
          <w:szCs w:val="28"/>
        </w:rPr>
        <w:t>9</w:t>
      </w:r>
      <w:r w:rsidRPr="00806EF2">
        <w:rPr>
          <w:sz w:val="28"/>
          <w:szCs w:val="28"/>
        </w:rPr>
        <w:t xml:space="preserve"> году составила 3</w:t>
      </w:r>
      <w:r>
        <w:rPr>
          <w:sz w:val="28"/>
          <w:szCs w:val="28"/>
        </w:rPr>
        <w:t>237</w:t>
      </w:r>
      <w:r w:rsidRPr="00806EF2">
        <w:rPr>
          <w:sz w:val="28"/>
          <w:szCs w:val="28"/>
        </w:rPr>
        <w:t xml:space="preserve"> человек и снизилась по сравнению с 201</w:t>
      </w:r>
      <w:r>
        <w:rPr>
          <w:sz w:val="28"/>
          <w:szCs w:val="28"/>
        </w:rPr>
        <w:t>8</w:t>
      </w:r>
      <w:r w:rsidRPr="00806EF2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>1,6</w:t>
      </w:r>
      <w:r w:rsidRPr="00806EF2">
        <w:rPr>
          <w:sz w:val="28"/>
          <w:szCs w:val="28"/>
        </w:rPr>
        <w:t xml:space="preserve"> %. </w:t>
      </w:r>
    </w:p>
    <w:p w:rsidR="00806EF2" w:rsidRDefault="00806EF2" w:rsidP="00806EF2">
      <w:pPr>
        <w:ind w:firstLine="709"/>
        <w:jc w:val="both"/>
        <w:rPr>
          <w:sz w:val="28"/>
          <w:szCs w:val="28"/>
        </w:rPr>
      </w:pPr>
      <w:r w:rsidRPr="00806EF2">
        <w:rPr>
          <w:sz w:val="28"/>
          <w:szCs w:val="28"/>
        </w:rPr>
        <w:t>Наибольшую долю занятых в экономике составляют работающие в отрасли «образование» – 28 %. Наряду с образованием относительно высок</w:t>
      </w:r>
      <w:r w:rsidR="006F09F4">
        <w:rPr>
          <w:sz w:val="28"/>
          <w:szCs w:val="28"/>
        </w:rPr>
        <w:t>ая</w:t>
      </w:r>
      <w:r w:rsidRPr="00806EF2">
        <w:rPr>
          <w:sz w:val="28"/>
          <w:szCs w:val="28"/>
        </w:rPr>
        <w:t xml:space="preserve"> дол</w:t>
      </w:r>
      <w:r w:rsidR="006F09F4">
        <w:rPr>
          <w:sz w:val="28"/>
          <w:szCs w:val="28"/>
        </w:rPr>
        <w:t>я</w:t>
      </w:r>
      <w:r w:rsidRPr="00806EF2">
        <w:rPr>
          <w:sz w:val="28"/>
          <w:szCs w:val="28"/>
        </w:rPr>
        <w:t xml:space="preserve"> занятых сохраня</w:t>
      </w:r>
      <w:r w:rsidR="006F09F4">
        <w:rPr>
          <w:sz w:val="28"/>
          <w:szCs w:val="28"/>
        </w:rPr>
        <w:t>е</w:t>
      </w:r>
      <w:r w:rsidRPr="00806EF2">
        <w:rPr>
          <w:sz w:val="28"/>
          <w:szCs w:val="28"/>
        </w:rPr>
        <w:t xml:space="preserve">тся в таких отраслях, как государственное управление (750 человек или 23,2%) и здравоохранение (398 человек или 12,3 %). </w:t>
      </w:r>
      <w:r w:rsidR="006F09F4">
        <w:rPr>
          <w:sz w:val="28"/>
          <w:szCs w:val="28"/>
        </w:rPr>
        <w:t>В сельском и лесном хозяйстве численность работающих составила 227 человек.</w:t>
      </w:r>
    </w:p>
    <w:p w:rsidR="00844CDF" w:rsidRDefault="00844CDF" w:rsidP="00806EF2">
      <w:pPr>
        <w:ind w:firstLine="709"/>
        <w:jc w:val="both"/>
        <w:rPr>
          <w:sz w:val="28"/>
          <w:szCs w:val="28"/>
        </w:rPr>
      </w:pPr>
    </w:p>
    <w:p w:rsidR="00844CDF" w:rsidRDefault="00844CDF" w:rsidP="00806EF2">
      <w:pPr>
        <w:ind w:firstLine="709"/>
        <w:jc w:val="both"/>
        <w:rPr>
          <w:sz w:val="28"/>
          <w:szCs w:val="28"/>
        </w:rPr>
      </w:pPr>
    </w:p>
    <w:p w:rsidR="00844CDF" w:rsidRDefault="00844CDF" w:rsidP="00806EF2">
      <w:pPr>
        <w:ind w:firstLine="709"/>
        <w:jc w:val="both"/>
        <w:rPr>
          <w:sz w:val="28"/>
          <w:szCs w:val="28"/>
        </w:rPr>
      </w:pPr>
      <w:bookmarkStart w:id="1" w:name="_GoBack"/>
      <w:r w:rsidRPr="00806EF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DCE8EC1" wp14:editId="384764B8">
            <wp:simplePos x="0" y="0"/>
            <wp:positionH relativeFrom="column">
              <wp:posOffset>660400</wp:posOffset>
            </wp:positionH>
            <wp:positionV relativeFrom="paragraph">
              <wp:posOffset>76835</wp:posOffset>
            </wp:positionV>
            <wp:extent cx="4645025" cy="3240405"/>
            <wp:effectExtent l="0" t="0" r="317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" t="2382" r="21318" b="14798"/>
                    <a:stretch/>
                  </pic:blipFill>
                  <pic:spPr bwMode="auto">
                    <a:xfrm>
                      <a:off x="0" y="0"/>
                      <a:ext cx="464502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844CDF" w:rsidRPr="00806EF2" w:rsidRDefault="00844CDF" w:rsidP="00806EF2">
      <w:pPr>
        <w:ind w:firstLine="709"/>
        <w:jc w:val="both"/>
        <w:rPr>
          <w:sz w:val="28"/>
          <w:szCs w:val="28"/>
        </w:rPr>
      </w:pPr>
    </w:p>
    <w:p w:rsidR="00806EF2" w:rsidRPr="00806EF2" w:rsidRDefault="00806EF2" w:rsidP="00806EF2">
      <w:pPr>
        <w:ind w:firstLine="709"/>
        <w:jc w:val="both"/>
        <w:rPr>
          <w:sz w:val="28"/>
          <w:szCs w:val="28"/>
        </w:rPr>
      </w:pPr>
      <w:r w:rsidRPr="00806EF2">
        <w:rPr>
          <w:sz w:val="28"/>
          <w:szCs w:val="28"/>
        </w:rPr>
        <w:t>Снижение численности занятых отмечается в образовании - на 2,5%, в здравоохранении – на 3,3 %, добыча полезных ископаемых – на 4,7 %.</w:t>
      </w:r>
    </w:p>
    <w:p w:rsidR="00755F48" w:rsidRPr="0057023E" w:rsidRDefault="00755F48" w:rsidP="00806EF2">
      <w:pPr>
        <w:spacing w:before="60"/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Численность незанятых граждан, обратившихся в органы службы занятости населения за содействием в поиске работы (по данным министерства труда, занятости и социального развития Архангельской области) на 1 января 20</w:t>
      </w:r>
      <w:r w:rsidR="0084038F" w:rsidRPr="0057023E">
        <w:rPr>
          <w:sz w:val="28"/>
          <w:szCs w:val="28"/>
        </w:rPr>
        <w:t>20</w:t>
      </w:r>
      <w:r w:rsidRPr="0057023E">
        <w:rPr>
          <w:sz w:val="28"/>
          <w:szCs w:val="28"/>
        </w:rPr>
        <w:t xml:space="preserve"> года составила 3</w:t>
      </w:r>
      <w:r w:rsidR="0084038F" w:rsidRPr="0057023E">
        <w:rPr>
          <w:sz w:val="28"/>
          <w:szCs w:val="28"/>
        </w:rPr>
        <w:t>07</w:t>
      </w:r>
      <w:r w:rsidRPr="0057023E">
        <w:rPr>
          <w:sz w:val="28"/>
          <w:szCs w:val="28"/>
        </w:rPr>
        <w:t xml:space="preserve"> человек. Численность </w:t>
      </w:r>
      <w:r w:rsidR="0084038F" w:rsidRPr="0057023E">
        <w:rPr>
          <w:sz w:val="28"/>
          <w:szCs w:val="28"/>
        </w:rPr>
        <w:t xml:space="preserve">зарегистрированных </w:t>
      </w:r>
      <w:r w:rsidRPr="0057023E">
        <w:rPr>
          <w:sz w:val="28"/>
          <w:szCs w:val="28"/>
        </w:rPr>
        <w:t>безработных на 1 января 20</w:t>
      </w:r>
      <w:r w:rsidR="0084038F" w:rsidRPr="0057023E">
        <w:rPr>
          <w:sz w:val="28"/>
          <w:szCs w:val="28"/>
        </w:rPr>
        <w:t>20</w:t>
      </w:r>
      <w:r w:rsidRPr="0057023E">
        <w:rPr>
          <w:sz w:val="28"/>
          <w:szCs w:val="28"/>
        </w:rPr>
        <w:t xml:space="preserve"> года составила </w:t>
      </w:r>
      <w:r w:rsidR="0084038F" w:rsidRPr="0057023E">
        <w:rPr>
          <w:sz w:val="28"/>
          <w:szCs w:val="28"/>
        </w:rPr>
        <w:t>282</w:t>
      </w:r>
      <w:r w:rsidRPr="0057023E">
        <w:rPr>
          <w:sz w:val="28"/>
          <w:szCs w:val="28"/>
        </w:rPr>
        <w:t xml:space="preserve"> человек</w:t>
      </w:r>
      <w:r w:rsidR="0084038F" w:rsidRPr="0057023E">
        <w:rPr>
          <w:sz w:val="28"/>
          <w:szCs w:val="28"/>
        </w:rPr>
        <w:t>а</w:t>
      </w:r>
      <w:r w:rsidRPr="0057023E">
        <w:rPr>
          <w:sz w:val="28"/>
          <w:szCs w:val="28"/>
        </w:rPr>
        <w:t xml:space="preserve"> и по сравнению с 1 января 201</w:t>
      </w:r>
      <w:r w:rsidR="0084038F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года </w:t>
      </w:r>
      <w:r w:rsidR="0084038F" w:rsidRPr="0057023E">
        <w:rPr>
          <w:sz w:val="28"/>
          <w:szCs w:val="28"/>
        </w:rPr>
        <w:t>уменьшилась</w:t>
      </w:r>
      <w:r w:rsidRPr="0057023E">
        <w:rPr>
          <w:sz w:val="28"/>
          <w:szCs w:val="28"/>
        </w:rPr>
        <w:t xml:space="preserve"> на </w:t>
      </w:r>
      <w:r w:rsidR="0084038F" w:rsidRPr="0057023E">
        <w:rPr>
          <w:sz w:val="28"/>
          <w:szCs w:val="28"/>
        </w:rPr>
        <w:t>19</w:t>
      </w:r>
      <w:r w:rsidRPr="0057023E">
        <w:rPr>
          <w:sz w:val="28"/>
          <w:szCs w:val="28"/>
        </w:rPr>
        <w:t xml:space="preserve"> человек, или на </w:t>
      </w:r>
      <w:r w:rsidR="0084038F" w:rsidRPr="0057023E">
        <w:rPr>
          <w:sz w:val="28"/>
          <w:szCs w:val="28"/>
        </w:rPr>
        <w:t>6,3</w:t>
      </w:r>
      <w:r w:rsidRPr="0057023E">
        <w:rPr>
          <w:sz w:val="28"/>
          <w:szCs w:val="28"/>
        </w:rPr>
        <w:t>%, с 1 декабря 201</w:t>
      </w:r>
      <w:r w:rsidR="0084038F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года</w:t>
      </w:r>
      <w:r w:rsidR="00A730FA" w:rsidRPr="0057023E">
        <w:rPr>
          <w:sz w:val="28"/>
          <w:szCs w:val="28"/>
        </w:rPr>
        <w:t xml:space="preserve"> увеличилась на 2</w:t>
      </w:r>
      <w:r w:rsidRPr="0057023E">
        <w:rPr>
          <w:sz w:val="28"/>
          <w:szCs w:val="28"/>
        </w:rPr>
        <w:t xml:space="preserve">4 человека, или </w:t>
      </w:r>
      <w:proofErr w:type="gramStart"/>
      <w:r w:rsidRPr="0057023E">
        <w:rPr>
          <w:sz w:val="28"/>
          <w:szCs w:val="28"/>
        </w:rPr>
        <w:t>на</w:t>
      </w:r>
      <w:proofErr w:type="gramEnd"/>
      <w:r w:rsidRPr="0057023E">
        <w:rPr>
          <w:sz w:val="28"/>
          <w:szCs w:val="28"/>
        </w:rPr>
        <w:t xml:space="preserve"> </w:t>
      </w:r>
      <w:r w:rsidR="00A730FA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>,</w:t>
      </w:r>
      <w:r w:rsidR="00A730FA" w:rsidRPr="0057023E">
        <w:rPr>
          <w:sz w:val="28"/>
          <w:szCs w:val="28"/>
        </w:rPr>
        <w:t>3</w:t>
      </w:r>
      <w:r w:rsidRPr="0057023E">
        <w:rPr>
          <w:sz w:val="28"/>
          <w:szCs w:val="28"/>
        </w:rPr>
        <w:t>%.</w:t>
      </w:r>
    </w:p>
    <w:p w:rsidR="00755F48" w:rsidRPr="0057023E" w:rsidRDefault="00755F48" w:rsidP="00806EF2">
      <w:pPr>
        <w:spacing w:before="60"/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декабре 201</w:t>
      </w:r>
      <w:r w:rsidR="00A730FA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года получили статус безработного </w:t>
      </w:r>
      <w:r w:rsidR="00A730FA" w:rsidRPr="0057023E">
        <w:rPr>
          <w:sz w:val="28"/>
          <w:szCs w:val="28"/>
        </w:rPr>
        <w:t>45</w:t>
      </w:r>
      <w:r w:rsidRPr="0057023E">
        <w:rPr>
          <w:sz w:val="28"/>
          <w:szCs w:val="28"/>
        </w:rPr>
        <w:t xml:space="preserve"> человек, нашли работу </w:t>
      </w:r>
      <w:r w:rsidR="00A730FA" w:rsidRPr="0057023E">
        <w:rPr>
          <w:sz w:val="28"/>
          <w:szCs w:val="28"/>
        </w:rPr>
        <w:t>11</w:t>
      </w:r>
      <w:r w:rsidRPr="0057023E">
        <w:rPr>
          <w:sz w:val="28"/>
          <w:szCs w:val="28"/>
        </w:rPr>
        <w:t xml:space="preserve"> безработных.</w:t>
      </w:r>
    </w:p>
    <w:p w:rsidR="00755F48" w:rsidRPr="0057023E" w:rsidRDefault="00755F48" w:rsidP="00806EF2">
      <w:pPr>
        <w:spacing w:before="60"/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Нагрузка незанятого населения, обратившегося в органы службы занятости населения, на одну заявленную вакансию составила на конец декабря 201</w:t>
      </w:r>
      <w:r w:rsidR="00A730FA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года </w:t>
      </w:r>
      <w:r w:rsidR="00A730FA" w:rsidRPr="0057023E">
        <w:rPr>
          <w:sz w:val="28"/>
          <w:szCs w:val="28"/>
        </w:rPr>
        <w:t>3</w:t>
      </w:r>
      <w:r w:rsidRPr="0057023E">
        <w:rPr>
          <w:sz w:val="28"/>
          <w:szCs w:val="28"/>
        </w:rPr>
        <w:t>,</w:t>
      </w:r>
      <w:r w:rsidR="00A730FA" w:rsidRPr="0057023E">
        <w:rPr>
          <w:sz w:val="28"/>
          <w:szCs w:val="28"/>
        </w:rPr>
        <w:t>0</w:t>
      </w:r>
      <w:r w:rsidRPr="0057023E">
        <w:rPr>
          <w:sz w:val="28"/>
          <w:szCs w:val="28"/>
        </w:rPr>
        <w:t xml:space="preserve"> человека</w:t>
      </w:r>
      <w:r w:rsidR="00A730FA" w:rsidRPr="0057023E">
        <w:rPr>
          <w:sz w:val="28"/>
          <w:szCs w:val="28"/>
        </w:rPr>
        <w:t xml:space="preserve"> против 2,7 человека на </w:t>
      </w:r>
      <w:r w:rsidRPr="0057023E">
        <w:rPr>
          <w:sz w:val="28"/>
          <w:szCs w:val="28"/>
        </w:rPr>
        <w:t xml:space="preserve"> кон</w:t>
      </w:r>
      <w:r w:rsidR="00A730FA" w:rsidRPr="0057023E">
        <w:rPr>
          <w:sz w:val="28"/>
          <w:szCs w:val="28"/>
        </w:rPr>
        <w:t>ец</w:t>
      </w:r>
      <w:r w:rsidRPr="0057023E">
        <w:rPr>
          <w:sz w:val="28"/>
          <w:szCs w:val="28"/>
        </w:rPr>
        <w:t xml:space="preserve"> декабря 201</w:t>
      </w:r>
      <w:r w:rsidR="00A730FA" w:rsidRPr="0057023E">
        <w:rPr>
          <w:sz w:val="28"/>
          <w:szCs w:val="28"/>
        </w:rPr>
        <w:t>8</w:t>
      </w:r>
      <w:r w:rsidRPr="0057023E">
        <w:rPr>
          <w:sz w:val="28"/>
          <w:szCs w:val="28"/>
        </w:rPr>
        <w:t xml:space="preserve"> года.</w:t>
      </w:r>
    </w:p>
    <w:p w:rsidR="0000076B" w:rsidRPr="0057023E" w:rsidRDefault="00755F48" w:rsidP="00806EF2">
      <w:pPr>
        <w:spacing w:before="60"/>
        <w:ind w:firstLine="709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Пособие по безработице на конец декабря 201</w:t>
      </w:r>
      <w:r w:rsidR="00A730FA" w:rsidRPr="0057023E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года получают </w:t>
      </w:r>
      <w:r w:rsidR="00A730FA" w:rsidRPr="0057023E">
        <w:rPr>
          <w:sz w:val="28"/>
          <w:szCs w:val="28"/>
        </w:rPr>
        <w:t>182</w:t>
      </w:r>
      <w:r w:rsidRPr="0057023E">
        <w:rPr>
          <w:sz w:val="28"/>
          <w:szCs w:val="28"/>
        </w:rPr>
        <w:t xml:space="preserve"> гражданина, что составляет </w:t>
      </w:r>
      <w:r w:rsidR="00A730FA" w:rsidRPr="0057023E">
        <w:rPr>
          <w:sz w:val="28"/>
          <w:szCs w:val="28"/>
        </w:rPr>
        <w:t>64</w:t>
      </w:r>
      <w:r w:rsidRPr="0057023E">
        <w:rPr>
          <w:sz w:val="28"/>
          <w:szCs w:val="28"/>
        </w:rPr>
        <w:t>,</w:t>
      </w:r>
      <w:r w:rsidR="00A730FA" w:rsidRPr="0057023E">
        <w:rPr>
          <w:sz w:val="28"/>
          <w:szCs w:val="28"/>
        </w:rPr>
        <w:t>5</w:t>
      </w:r>
      <w:r w:rsidRPr="0057023E">
        <w:rPr>
          <w:sz w:val="28"/>
          <w:szCs w:val="28"/>
        </w:rPr>
        <w:t>% от об</w:t>
      </w:r>
      <w:r w:rsidR="0053225C" w:rsidRPr="0057023E">
        <w:rPr>
          <w:sz w:val="28"/>
          <w:szCs w:val="28"/>
        </w:rPr>
        <w:t>щей численности зарегистрирован</w:t>
      </w:r>
      <w:r w:rsidRPr="0057023E">
        <w:rPr>
          <w:sz w:val="28"/>
          <w:szCs w:val="28"/>
        </w:rPr>
        <w:t>ных безработных.</w:t>
      </w:r>
    </w:p>
    <w:p w:rsidR="0089741A" w:rsidRPr="0057023E" w:rsidRDefault="0089741A" w:rsidP="00806EF2">
      <w:pPr>
        <w:spacing w:before="60"/>
        <w:ind w:firstLine="709"/>
        <w:jc w:val="both"/>
        <w:rPr>
          <w:sz w:val="28"/>
          <w:szCs w:val="28"/>
        </w:rPr>
      </w:pPr>
    </w:p>
    <w:p w:rsidR="0089741A" w:rsidRPr="0057023E" w:rsidRDefault="0089741A" w:rsidP="00806EF2">
      <w:pPr>
        <w:spacing w:before="60"/>
        <w:ind w:firstLine="709"/>
        <w:jc w:val="both"/>
        <w:rPr>
          <w:sz w:val="28"/>
          <w:szCs w:val="28"/>
        </w:rPr>
      </w:pP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56298"/>
    <w:rsid w:val="00063C2D"/>
    <w:rsid w:val="0009486D"/>
    <w:rsid w:val="000A6725"/>
    <w:rsid w:val="000F1495"/>
    <w:rsid w:val="00124E7B"/>
    <w:rsid w:val="00175C45"/>
    <w:rsid w:val="00190055"/>
    <w:rsid w:val="001A1E70"/>
    <w:rsid w:val="001F07E1"/>
    <w:rsid w:val="00216117"/>
    <w:rsid w:val="00233256"/>
    <w:rsid w:val="002551C9"/>
    <w:rsid w:val="00271376"/>
    <w:rsid w:val="00273227"/>
    <w:rsid w:val="00275C78"/>
    <w:rsid w:val="002C46D2"/>
    <w:rsid w:val="00302CF8"/>
    <w:rsid w:val="00350028"/>
    <w:rsid w:val="00350E08"/>
    <w:rsid w:val="003777B5"/>
    <w:rsid w:val="003B42FB"/>
    <w:rsid w:val="003C4536"/>
    <w:rsid w:val="003C5ECB"/>
    <w:rsid w:val="004307E7"/>
    <w:rsid w:val="00493EEA"/>
    <w:rsid w:val="004D778E"/>
    <w:rsid w:val="00510B15"/>
    <w:rsid w:val="0053225C"/>
    <w:rsid w:val="0054738C"/>
    <w:rsid w:val="00552699"/>
    <w:rsid w:val="0057023E"/>
    <w:rsid w:val="00597DC3"/>
    <w:rsid w:val="005B5781"/>
    <w:rsid w:val="005B6D25"/>
    <w:rsid w:val="00603063"/>
    <w:rsid w:val="006379B3"/>
    <w:rsid w:val="0065545B"/>
    <w:rsid w:val="00657CD7"/>
    <w:rsid w:val="00694867"/>
    <w:rsid w:val="006A0F76"/>
    <w:rsid w:val="006F09F4"/>
    <w:rsid w:val="0071575F"/>
    <w:rsid w:val="007336AF"/>
    <w:rsid w:val="00755413"/>
    <w:rsid w:val="00755F48"/>
    <w:rsid w:val="00763403"/>
    <w:rsid w:val="007C6C16"/>
    <w:rsid w:val="007C7AB9"/>
    <w:rsid w:val="007E5D77"/>
    <w:rsid w:val="00806CED"/>
    <w:rsid w:val="00806EF2"/>
    <w:rsid w:val="008253C9"/>
    <w:rsid w:val="0084038F"/>
    <w:rsid w:val="00844CDF"/>
    <w:rsid w:val="0085678F"/>
    <w:rsid w:val="00873D33"/>
    <w:rsid w:val="0089741A"/>
    <w:rsid w:val="008B657E"/>
    <w:rsid w:val="008B71EB"/>
    <w:rsid w:val="008F5032"/>
    <w:rsid w:val="00944B36"/>
    <w:rsid w:val="00954AA3"/>
    <w:rsid w:val="009552F9"/>
    <w:rsid w:val="00973377"/>
    <w:rsid w:val="009B0121"/>
    <w:rsid w:val="009C0CB2"/>
    <w:rsid w:val="009C5D17"/>
    <w:rsid w:val="009E06B8"/>
    <w:rsid w:val="00A0602D"/>
    <w:rsid w:val="00A730FA"/>
    <w:rsid w:val="00A73DFC"/>
    <w:rsid w:val="00A80203"/>
    <w:rsid w:val="00AB06F1"/>
    <w:rsid w:val="00AC25CF"/>
    <w:rsid w:val="00AD3C22"/>
    <w:rsid w:val="00B1241D"/>
    <w:rsid w:val="00B13771"/>
    <w:rsid w:val="00B30FBC"/>
    <w:rsid w:val="00B608C8"/>
    <w:rsid w:val="00B6107A"/>
    <w:rsid w:val="00B732CC"/>
    <w:rsid w:val="00B86DB1"/>
    <w:rsid w:val="00BA4A5B"/>
    <w:rsid w:val="00BD3765"/>
    <w:rsid w:val="00C15564"/>
    <w:rsid w:val="00C60E6F"/>
    <w:rsid w:val="00C61786"/>
    <w:rsid w:val="00C738D9"/>
    <w:rsid w:val="00CE78D6"/>
    <w:rsid w:val="00D13C13"/>
    <w:rsid w:val="00D31AD5"/>
    <w:rsid w:val="00D82841"/>
    <w:rsid w:val="00D86B84"/>
    <w:rsid w:val="00D90799"/>
    <w:rsid w:val="00DB2F27"/>
    <w:rsid w:val="00DF555D"/>
    <w:rsid w:val="00E07560"/>
    <w:rsid w:val="00E12538"/>
    <w:rsid w:val="00E1340B"/>
    <w:rsid w:val="00E33205"/>
    <w:rsid w:val="00E53F00"/>
    <w:rsid w:val="00E7210B"/>
    <w:rsid w:val="00EC4A46"/>
    <w:rsid w:val="00F17AD4"/>
    <w:rsid w:val="00F27B1B"/>
    <w:rsid w:val="00F344FA"/>
    <w:rsid w:val="00F66D2D"/>
    <w:rsid w:val="00F91DEA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Agroprom_4\Desktop\&#1057;&#1086;&#1094;-&#1101;&#1082;&#1086;&#1085;&#1086;&#1084;%20&#1087;&#1086;&#1083;&#1086;&#1078;&#1077;&#1085;&#1080;&#1077;\&#1043;&#1088;&#1072;&#1092;&#1080;&#1082;&#108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5.9044747954085035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475586780132927E-2"/>
                  <c:y val="-0.14103623828969111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880229495191197E-3"/>
                  <c:y val="-6.0206511142977162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075579056267601"/>
                  <c:y val="-7.9990822825468405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704842451352614E-2"/>
                  <c:y val="-3.0807687494470161E-4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9540790977770114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3034465582313159E-2"/>
                  <c:y val="-0.22663179340344691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528363546928682E-2"/>
                  <c:y val="-0.1104605126534905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0771948581552517E-2"/>
                  <c:y val="8.0458396210910071E-4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распределение!$A$4:$A$12</c:f>
              <c:strCache>
                <c:ptCount val="9"/>
                <c:pt idx="0">
                  <c:v>С/Х, лесное хоз-во</c:v>
                </c:pt>
                <c:pt idx="1">
                  <c:v>Обрабатывающие производства</c:v>
                </c:pt>
                <c:pt idx="2">
                  <c:v>Обеспечение эл. энергией, газом и паром</c:v>
                </c:pt>
                <c:pt idx="3">
                  <c:v>Торговля оптовая и розничная; ремонт авто средств</c:v>
                </c:pt>
                <c:pt idx="4">
                  <c:v>Транспортировка и хранение</c:v>
                </c:pt>
                <c:pt idx="5">
                  <c:v>Деят-ть по операциям с недвиж. имуществом</c:v>
                </c:pt>
                <c:pt idx="6">
                  <c:v>Гос. упр-ие и обеспечение военной безоп-ти; соц. обеспечение</c:v>
                </c:pt>
                <c:pt idx="7">
                  <c:v>Образование</c:v>
                </c:pt>
                <c:pt idx="8">
                  <c:v>Предоставление прочих видов услуг</c:v>
                </c:pt>
              </c:strCache>
            </c:strRef>
          </c:cat>
          <c:val>
            <c:numRef>
              <c:f>распределение!$E$4:$E$12</c:f>
              <c:numCache>
                <c:formatCode>0.0%</c:formatCode>
                <c:ptCount val="9"/>
                <c:pt idx="0">
                  <c:v>0.151</c:v>
                </c:pt>
                <c:pt idx="1">
                  <c:v>4.1000000000000002E-2</c:v>
                </c:pt>
                <c:pt idx="2">
                  <c:v>6.4000000000000001E-2</c:v>
                </c:pt>
                <c:pt idx="3">
                  <c:v>0.128</c:v>
                </c:pt>
                <c:pt idx="4">
                  <c:v>2.8000000000000001E-2</c:v>
                </c:pt>
                <c:pt idx="5">
                  <c:v>0.115</c:v>
                </c:pt>
                <c:pt idx="6">
                  <c:v>0.14699999999999999</c:v>
                </c:pt>
                <c:pt idx="7">
                  <c:v>8.6999999999999994E-2</c:v>
                </c:pt>
                <c:pt idx="8">
                  <c:v>0.128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0.00829</cdr:x>
      <cdr:y>0.2063</cdr:y>
    </cdr:from>
    <cdr:to>
      <cdr:x>0.30186</cdr:x>
      <cdr:y>0.31805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96" y="685800"/>
          <a:ext cx="195458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rtl="0"/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764D-DCF7-45EC-BCD8-D11E3554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Павозкова Ирина Михайловна</cp:lastModifiedBy>
  <cp:revision>6</cp:revision>
  <dcterms:created xsi:type="dcterms:W3CDTF">2020-04-02T08:54:00Z</dcterms:created>
  <dcterms:modified xsi:type="dcterms:W3CDTF">2020-04-10T08:31:00Z</dcterms:modified>
</cp:coreProperties>
</file>