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67" w:rsidRPr="00DA3CFD" w:rsidRDefault="00D07D67" w:rsidP="00D07D67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образования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370737110"/>
      <w:bookmarkStart w:id="56" w:name="_Toc370737199"/>
      <w:bookmarkStart w:id="57" w:name="_Toc373398484"/>
      <w:bookmarkStart w:id="58" w:name="_Toc373398542"/>
      <w:bookmarkStart w:id="59" w:name="_Toc421109907"/>
      <w:bookmarkStart w:id="60" w:name="_Toc421120026"/>
      <w:bookmarkStart w:id="61" w:name="_Toc421120249"/>
      <w:bookmarkStart w:id="62" w:name="_Toc421528607"/>
      <w:bookmarkStart w:id="63" w:name="_Toc421627143"/>
      <w:bookmarkStart w:id="64" w:name="_Toc421632231"/>
      <w:bookmarkStart w:id="65" w:name="_Toc421635123"/>
      <w:bookmarkStart w:id="66" w:name="_Toc421707031"/>
      <w:bookmarkStart w:id="67" w:name="_Toc422237333"/>
      <w:bookmarkStart w:id="68" w:name="_Toc430272133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Луковецкое</w:t>
      </w:r>
      <w:proofErr w:type="spellEnd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bookmarkStart w:id="69" w:name="_Toc430882636"/>
      <w:bookmarkStart w:id="70" w:name="_Toc430883028"/>
      <w:bookmarkStart w:id="71" w:name="_Toc431225663"/>
      <w:bookmarkEnd w:id="43"/>
      <w:bookmarkEnd w:id="44"/>
      <w:bookmarkEnd w:id="45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72" w:name="_GoBack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D07D67" w:rsidRDefault="00D07D67" w:rsidP="009F38FF">
      <w:pPr>
        <w:widowControl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8FF" w:rsidRPr="009F38FF" w:rsidRDefault="009F38FF" w:rsidP="009F38FF">
      <w:pPr>
        <w:widowControl w:val="0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13. Порядок предоставления разрешения на условно разрешенный вид использования земельного участка или объекта капитального строительства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строительства, направляет заявление о предоставлении разрешения на условно разрешенный вид использования в Комиссию.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Физическое или юридическое лицо, заинтересованное в предоставлении разрешения на условно разрешённый вид использования земельного участка или объекта капитального строительства (далее – разрешение на условно разрешённый вид использования), направляет заявление о предоставлении разрешения на условно разрешённый вид использования в Комиссию. Заявление составляется в свободной форме и предоставляется в письменном виде.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В заявлении отражается содержание запроса, даются и прилагаются идентификационные сведения и материалы о земельном участке. К заявлению прилагаются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обосновывающие материалы.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Идентификационные сведения и материалы о земельном участке, в отношении которого подается заявление, включают: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адрес расположения земельного участка, объекта капитального строительства;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кадастровый номер земельного участка и его кадастровый план;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свидетельство о государственной регистрации права на земельный участок и объекты капитального строительства;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Обосновывающие материалы включают: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графические материалы, в том числе:</w:t>
      </w:r>
    </w:p>
    <w:p w:rsidR="009F38FF" w:rsidRPr="009F38FF" w:rsidRDefault="009F38FF" w:rsidP="009F38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ситуационный план (схему расположения земельного участка в окружении смежно расположенных земельных участков) с отображением на нем границ рассматриваемого земельного участка, границ смежных земельных участков (с указанием их кадастровых номеров), а также объектов капитального строительства, на них расположенных, объектов культурного наследия и границ их территорий, красных линий, линий застройки, границ зон с особыми условиями использования территорий, сетей инженерно-технического обеспечения и точек</w:t>
      </w:r>
      <w:proofErr w:type="gram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подключения (технологического присоединения) к ним с учетом размещения объекта капитального строительства;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схему планировочной организации земельного участка объекта капитального строительства;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функционального зонирования (планов) этажей;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схемы фасадов;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пояснительную записку с информацией по намечаемому строительству зданий и строений на земельном участке: 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планируемых общей площади, этажности, вместимости, мощности объекта, объемах ресурсов, необходимых для функционирования объекта (количество работающих и посетителей); грузооборот (частота подъезда к объекту грузового автотранспорта); объемы инженерных ресурсов (энергообеспечение, водоснабжение и т.д.); документы,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подтверждающие возможность получения таких ресурсов в необходимом объеме (технические условия, предоставленные уполномоченными организациями);</w:t>
      </w:r>
      <w:proofErr w:type="gramEnd"/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 - обоснование того, что реализацией данных предложений не будет оказано негативное воздействие на окружающую среду в объемах, превышающих допустимые пределы.</w:t>
      </w:r>
    </w:p>
    <w:p w:rsidR="009F38FF" w:rsidRPr="009F38FF" w:rsidRDefault="009F38FF" w:rsidP="009F38F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иные материалы, обосновывающие целесообразность, возможность и допустимость реализации предложений.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Вопрос о предоставлении разрешения на условно разрешенный вид использования подлежит обсуждению на публичных слушаниях,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проводимых в соответствии со статьей 22 настоящих Правил.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заключения о результатах публичных слушаний по вопросу о предоставлении разрешения на условно разрешенный вид</w:t>
      </w:r>
      <w:proofErr w:type="gram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муниципального образования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На основании указанных в </w:t>
      </w:r>
      <w:hyperlink r:id="rId6" w:anchor="p1217" w:tooltip="Ссылка на текущий документ" w:history="1">
        <w:r w:rsidRPr="009F38F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</w:t>
        </w:r>
      </w:hyperlink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настоящей статьи рекомендаций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глава муниципального </w:t>
      </w:r>
      <w:proofErr w:type="spell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образования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муниципального </w:t>
      </w:r>
      <w:proofErr w:type="spell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образованияв</w:t>
      </w:r>
      <w:proofErr w:type="spell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сети «Интернет»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случае</w:t>
      </w: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10.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9F38FF" w:rsidRPr="009F38FF" w:rsidRDefault="009F38FF" w:rsidP="009F38F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38FF" w:rsidRPr="009F38FF" w:rsidRDefault="009F38FF" w:rsidP="009F38FF">
      <w:pPr>
        <w:spacing w:after="0"/>
        <w:ind w:left="426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b/>
          <w:bCs/>
          <w:sz w:val="24"/>
          <w:szCs w:val="24"/>
        </w:rPr>
        <w:t>Статья 37.1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F38FF">
        <w:rPr>
          <w:rFonts w:ascii="Times New Roman" w:eastAsia="Times New Roman" w:hAnsi="Times New Roman" w:cs="Times New Roman"/>
          <w:b/>
          <w:bCs/>
          <w:sz w:val="24"/>
          <w:szCs w:val="24"/>
        </w:rPr>
        <w:t>Зона застройки индивидуальными жилыми домами (Ж-1)</w:t>
      </w:r>
    </w:p>
    <w:p w:rsidR="009F38FF" w:rsidRPr="009F38FF" w:rsidRDefault="009F38FF" w:rsidP="009F38FF">
      <w:pPr>
        <w:spacing w:after="0"/>
        <w:ind w:left="426"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9F38FF" w:rsidRPr="009F38FF" w:rsidRDefault="009F38FF" w:rsidP="009F38FF">
      <w:pPr>
        <w:widowControl w:val="0"/>
        <w:tabs>
          <w:tab w:val="left" w:pos="7200"/>
        </w:tabs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выделена для размещения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и обеспечения правовых условий формирования жилых районов из отдельно стоящих индивидуальных жилых домов и блокированных жилых домов (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этажностью 1-3 надземных этажа</w:t>
      </w: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с</w:t>
      </w:r>
      <w:proofErr w:type="gram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минимально разрешенным набором услуг повседневного пользования.</w:t>
      </w:r>
    </w:p>
    <w:p w:rsidR="009F38FF" w:rsidRPr="009F38FF" w:rsidRDefault="009F38FF" w:rsidP="009F38FF">
      <w:pPr>
        <w:widowControl w:val="0"/>
        <w:tabs>
          <w:tab w:val="left" w:pos="1985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38FF" w:rsidRPr="009F38FF" w:rsidRDefault="009F38FF" w:rsidP="009F38FF">
      <w:pPr>
        <w:widowControl w:val="0"/>
        <w:suppressAutoHyphens/>
        <w:autoSpaceDE w:val="0"/>
        <w:spacing w:after="0"/>
        <w:ind w:left="15" w:right="-1" w:firstLine="69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  <w:lastRenderedPageBreak/>
        <w:t>Основные виды разрешенного использования: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индивидуального жилищного строительства: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усадебная застройка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Блокированная жилая застройка: с </w:t>
      </w:r>
      <w:proofErr w:type="spellStart"/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приквартирными</w:t>
      </w:r>
      <w:proofErr w:type="spellEnd"/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участками.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Для ведения личного подсобного хозяйства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Дошкольное, начальное и среднее общее образование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: детские дошкольные учреждения, общеобразовательные школы.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Амбулаторно-поликлиническое обслуживание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пункты первой медицинской помощи, аптеки.</w:t>
      </w:r>
    </w:p>
    <w:p w:rsidR="009F38FF" w:rsidRPr="009F38FF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внутреннего правопорядка: опорные пункты охраны общественного порядка.</w:t>
      </w:r>
    </w:p>
    <w:p w:rsidR="00D07D67" w:rsidRDefault="009F38FF" w:rsidP="009F38FF">
      <w:pPr>
        <w:widowControl w:val="0"/>
        <w:numPr>
          <w:ilvl w:val="3"/>
          <w:numId w:val="2"/>
        </w:numPr>
        <w:tabs>
          <w:tab w:val="num" w:pos="993"/>
          <w:tab w:val="num" w:pos="2880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гаражного назначения</w:t>
      </w:r>
    </w:p>
    <w:p w:rsidR="00D07D67" w:rsidRDefault="00D07D67" w:rsidP="00D07D67">
      <w:pPr>
        <w:widowControl w:val="0"/>
        <w:tabs>
          <w:tab w:val="num" w:pos="2880"/>
        </w:tabs>
        <w:suppressAutoHyphens/>
        <w:autoSpaceDE w:val="0"/>
        <w:spacing w:after="0"/>
        <w:ind w:left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</w:p>
    <w:p w:rsidR="009F38FF" w:rsidRPr="009F38FF" w:rsidRDefault="009F38FF" w:rsidP="00D07D67">
      <w:pPr>
        <w:widowControl w:val="0"/>
        <w:tabs>
          <w:tab w:val="num" w:pos="2880"/>
        </w:tabs>
        <w:suppressAutoHyphens/>
        <w:autoSpaceDE w:val="0"/>
        <w:spacing w:after="0"/>
        <w:ind w:left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  <w:t xml:space="preserve">Условно разрешенные виды использования: 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69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Обслуживание жилой застройки (размещение объектов общественного назначения повседневного пользования):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Магазины: отдельно стоящие объекты торговли, временные объекты торговли.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Общественное питание: отдельно стоящие объекты дневного обслуживания.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  <w:tab w:val="num" w:pos="6031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Бытовое обслуживание: отдельно стоящие объекты, рассчитанные на малый поток посетителей (на 2 раб</w:t>
      </w:r>
      <w:proofErr w:type="gram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.</w:t>
      </w:r>
      <w:proofErr w:type="gram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</w:t>
      </w:r>
      <w:proofErr w:type="gram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</w:t>
      </w:r>
      <w:proofErr w:type="gram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еста)</w:t>
      </w:r>
      <w:r w:rsidRPr="009F38FF">
        <w:rPr>
          <w:rFonts w:ascii="Times New Roman CYR" w:eastAsia="Times New Roman" w:hAnsi="Times New Roman CYR" w:cs="Times New Roman CYR"/>
          <w:i/>
          <w:iCs/>
          <w:sz w:val="24"/>
          <w:szCs w:val="24"/>
          <w:lang w:eastAsia="ar-SA"/>
        </w:rPr>
        <w:t xml:space="preserve">,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в том </w:t>
      </w:r>
      <w:proofErr w:type="spell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числемастерские</w:t>
      </w:r>
      <w:proofErr w:type="spell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мелкого ремонта, ателье, парикмахерские.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Гостиничное обслуживание: мини-гостиницы, гостевые дома, мотели.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Социальное обслуживание: отделения связи.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Ветеринарное обслуживание: ветлечебницы, без постоянного содержания животных.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Обслуживание автотранспорта: АЗС, АГЗС;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Спорт: спортплощадки.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Рынки при условии обеспечения санитарно-защитной зоны до территории жилых домов.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  <w:tab w:val="left" w:pos="1134"/>
          <w:tab w:val="num" w:pos="6031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Общественное управление: административно-управленческие здания;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Религиозное использование: культовые здания, часовни.</w:t>
      </w:r>
    </w:p>
    <w:p w:rsidR="009F38FF" w:rsidRPr="009F38FF" w:rsidRDefault="009F38FF" w:rsidP="009F38FF">
      <w:pPr>
        <w:widowControl w:val="0"/>
        <w:numPr>
          <w:ilvl w:val="3"/>
          <w:numId w:val="1"/>
        </w:numPr>
        <w:tabs>
          <w:tab w:val="left" w:pos="993"/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Многоквартирные жилые дома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69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69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  <w:t>Вспомогательные виды разрешенного использования:</w:t>
      </w:r>
    </w:p>
    <w:p w:rsidR="009F38FF" w:rsidRPr="009F38FF" w:rsidRDefault="009F38FF" w:rsidP="009F38FF">
      <w:pPr>
        <w:widowControl w:val="0"/>
        <w:numPr>
          <w:ilvl w:val="6"/>
          <w:numId w:val="2"/>
        </w:numPr>
        <w:tabs>
          <w:tab w:val="left" w:pos="993"/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Для ведения личного подсобного хозяйства: выращивание плодовых, ягодных, овощных культур; размещение хозяйственных построек, индивидуальные бани, теплицы, парники выращивание плодовых, ягодных, овощных культур; размещение хозяйственных построек, в том числе для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содержания и разведение домашнего скота и птицы.</w:t>
      </w:r>
    </w:p>
    <w:p w:rsidR="009F38FF" w:rsidRPr="009F38FF" w:rsidRDefault="009F38FF" w:rsidP="009F38FF">
      <w:pPr>
        <w:widowControl w:val="0"/>
        <w:numPr>
          <w:ilvl w:val="6"/>
          <w:numId w:val="2"/>
        </w:numPr>
        <w:tabs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Коммунальное обслуживание: встроенные или отдельно стоящие гаражи, открытые стоянки без технического обслуживания на 1-2 легковые машины на земельном участке жилого дома, скважины, колодцы, резервуары для воды.</w:t>
      </w:r>
    </w:p>
    <w:p w:rsidR="009F38FF" w:rsidRPr="009F38FF" w:rsidRDefault="009F38FF" w:rsidP="009F38FF">
      <w:pPr>
        <w:widowControl w:val="0"/>
        <w:numPr>
          <w:ilvl w:val="6"/>
          <w:numId w:val="2"/>
        </w:numPr>
        <w:tabs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Отдых (рекреация): детские игровые площадки, открытые спортивно-физкультурные сооружения, элементы благоустройства.</w:t>
      </w:r>
    </w:p>
    <w:p w:rsidR="009F38FF" w:rsidRPr="009F38FF" w:rsidRDefault="009F38FF" w:rsidP="009F38FF">
      <w:pPr>
        <w:widowControl w:val="0"/>
        <w:numPr>
          <w:ilvl w:val="6"/>
          <w:numId w:val="2"/>
        </w:numPr>
        <w:tabs>
          <w:tab w:val="left" w:pos="1134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Обеспечение внутреннего правопорядка: размещение объектов пожарной охраны – источников пожаротушения (гидрантов, резервуаров, противопожарных водоемов).</w:t>
      </w:r>
    </w:p>
    <w:p w:rsidR="009F38FF" w:rsidRPr="009F38FF" w:rsidRDefault="009F38FF" w:rsidP="009F38FF">
      <w:pPr>
        <w:widowControl w:val="0"/>
        <w:numPr>
          <w:ilvl w:val="6"/>
          <w:numId w:val="2"/>
        </w:numPr>
        <w:tabs>
          <w:tab w:val="left" w:pos="993"/>
          <w:tab w:val="num" w:pos="1070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Обслуживание автотранспорта: парковки объектов общественного назначения.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694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ar-SA"/>
        </w:rPr>
        <w:t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9F38FF" w:rsidRPr="009F38FF" w:rsidRDefault="009F38FF" w:rsidP="009F38FF">
      <w:pPr>
        <w:widowControl w:val="0"/>
        <w:numPr>
          <w:ilvl w:val="6"/>
          <w:numId w:val="1"/>
        </w:numPr>
        <w:tabs>
          <w:tab w:val="num" w:pos="0"/>
          <w:tab w:val="left" w:pos="993"/>
        </w:tabs>
        <w:suppressAutoHyphens/>
        <w:autoSpaceDE w:val="0"/>
        <w:spacing w:after="0"/>
        <w:ind w:left="0"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Минимальная площадь земельного участка </w:t>
      </w:r>
      <w:proofErr w:type="gram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для</w:t>
      </w:r>
      <w:proofErr w:type="gram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: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а) строительства индивидуального жилого дома – 0,06 га;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б)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размещения одного из блокированных жилых домов (включая площадь застройки) – 300 м</w:t>
      </w: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 на каждую блок-квартиру;</w:t>
      </w:r>
    </w:p>
    <w:p w:rsidR="009F38FF" w:rsidRPr="009F38FF" w:rsidRDefault="009F38FF" w:rsidP="009F38FF">
      <w:pPr>
        <w:suppressAutoHyphens/>
        <w:snapToGri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F38F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в) для ведения личного подсобного хозяйства – 40 кв. м»;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г) для иных видов разрешенного использования – не подлежит установлению;</w:t>
      </w:r>
    </w:p>
    <w:p w:rsidR="009F38FF" w:rsidRPr="009F38FF" w:rsidRDefault="009F38FF" w:rsidP="009F38FF">
      <w:pPr>
        <w:suppressAutoHyphens/>
        <w:snapToGri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F38F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д) объекты гаражного назначения – 30 </w:t>
      </w:r>
      <w:proofErr w:type="spellStart"/>
      <w:r w:rsidRPr="009F38FF">
        <w:rPr>
          <w:rFonts w:ascii="Calibri" w:eastAsia="Times New Roman" w:hAnsi="Calibri" w:cs="Times New Roman"/>
          <w:sz w:val="24"/>
          <w:szCs w:val="24"/>
          <w:lang w:eastAsia="ru-RU"/>
        </w:rPr>
        <w:t>кв</w:t>
      </w:r>
      <w:proofErr w:type="gramStart"/>
      <w:r w:rsidRPr="009F38FF">
        <w:rPr>
          <w:rFonts w:ascii="Calibri" w:eastAsia="Times New Roman" w:hAnsi="Calibri" w:cs="Times New Roman"/>
          <w:sz w:val="24"/>
          <w:szCs w:val="24"/>
          <w:lang w:eastAsia="ru-RU"/>
        </w:rPr>
        <w:t>.м</w:t>
      </w:r>
      <w:proofErr w:type="spellEnd"/>
      <w:proofErr w:type="gramEnd"/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2. Максимальная площадь земельного участка </w:t>
      </w:r>
      <w:proofErr w:type="gram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для</w:t>
      </w:r>
      <w:proofErr w:type="gramEnd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: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а) строительства индивидуального жилого дома – 0,20 га;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б)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размещения одного из блокированных жилых домов (включая площадь застройки) – 400 м</w:t>
      </w:r>
      <w:proofErr w:type="gramStart"/>
      <w:r w:rsidRPr="009F38F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 на каждую блок-квартиру.</w:t>
      </w:r>
    </w:p>
    <w:p w:rsidR="009F38FF" w:rsidRPr="009F38FF" w:rsidRDefault="009F38FF" w:rsidP="009F38FF">
      <w:pPr>
        <w:suppressAutoHyphens/>
        <w:snapToGri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F38FF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           в) для ведения личного подсобного хозяйства – 600 кв. м»;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г) для иных видов разрешенного использования – не подлежит установлению;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д)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объекты гаражного назначения»  – 300 </w:t>
      </w:r>
      <w:proofErr w:type="spell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3.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40.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4.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Минимальная высота индивидуальных жилых домов и иных объектов, размещаемых в зоне малоэтажной жилой застройки – 5 метров в коньке кровли.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5.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>Максимальная высота:</w:t>
      </w:r>
    </w:p>
    <w:p w:rsidR="009F38FF" w:rsidRPr="009F38FF" w:rsidRDefault="009F38FF" w:rsidP="009F38FF">
      <w:pPr>
        <w:widowControl w:val="0"/>
        <w:numPr>
          <w:ilvl w:val="0"/>
          <w:numId w:val="3"/>
        </w:numPr>
        <w:tabs>
          <w:tab w:val="left" w:pos="900"/>
          <w:tab w:val="left" w:pos="1080"/>
          <w:tab w:val="left" w:pos="1260"/>
          <w:tab w:val="num" w:pos="4140"/>
        </w:tabs>
        <w:overflowPunct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жилых домов и иных объектов, размещаемых в зоне малоэтажной жилой застройки – 10 метров в коньке кровли;</w:t>
      </w:r>
    </w:p>
    <w:p w:rsidR="009F38FF" w:rsidRPr="009F38FF" w:rsidRDefault="009F38FF" w:rsidP="009F38FF">
      <w:pPr>
        <w:widowControl w:val="0"/>
        <w:numPr>
          <w:ilvl w:val="0"/>
          <w:numId w:val="3"/>
        </w:numPr>
        <w:tabs>
          <w:tab w:val="left" w:pos="900"/>
          <w:tab w:val="left" w:pos="1080"/>
          <w:tab w:val="left" w:pos="1260"/>
          <w:tab w:val="num" w:pos="4140"/>
        </w:tabs>
        <w:overflowPunct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хозяйственных построек: гаражей, индивидуальных бань, теплиц и других вспомогательных строений – 5 м в коньке крыши.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Высота зданий от уровня земли до верха плоской кровли не более 9,6 м: до конька скатной кровли не более 13,6 м.  Для всех вспомогательных строений высота от уровня земли до верха плоской кровли не более 4 м, до конька скатной кровли не более 7м. Исключение: башни, шпили, флагштоки - без ограничения.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6.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а) Минимальное расстояние до границ земельного участка, совпадающих </w:t>
      </w: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br/>
        <w:t>с красными линиями улиц, дорог, проездов: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от дома до красной линии улиц – 5 м, 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 дома до красной линии проездов – 3 м.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до красных линий от стен зданий дошкольных и общеобразовательных учреждений - 10 м.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на земельных участках иных видов разрешенного использования – 3 м; 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б) Минимальное расстояние до иных границ земельных участков, не совпадающих с красными линиями улиц, дорог, проездов: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</w:t>
      </w:r>
      <w:proofErr w:type="gramStart"/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от дома до границы соседнего участка – 3 м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при условии учета норм инсоляции и освещенности в соответствии с требованиями СанПиН 2.2.1/2.1.1.1076-01, нормами </w:t>
      </w:r>
      <w:r w:rsidRPr="009F38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освещенности, приведенными в СП 52.13330.2011, а также в соответствии с противопожарными требованиями, установленными </w:t>
      </w:r>
      <w:hyperlink r:id="rId7" w:history="1">
        <w:r w:rsidRPr="009F38FF">
          <w:rPr>
            <w:rFonts w:ascii="Times New Roman" w:eastAsia="Times New Roman" w:hAnsi="Times New Roman" w:cs="Times New Roman"/>
            <w:sz w:val="24"/>
            <w:szCs w:val="24"/>
          </w:rPr>
          <w:t>главой 15 «Требования пожарной безопасности при градостроительной деятельности» раздела II «Требования пожарной безопасности при проектировании, строительстве и эксплуатации поселений и городских округов» Технического</w:t>
        </w:r>
        <w:proofErr w:type="gramEnd"/>
        <w:r w:rsidRPr="009F38FF">
          <w:rPr>
            <w:rFonts w:ascii="Times New Roman" w:eastAsia="Times New Roman" w:hAnsi="Times New Roman" w:cs="Times New Roman"/>
            <w:sz w:val="24"/>
            <w:szCs w:val="24"/>
          </w:rPr>
          <w:t xml:space="preserve"> регламента о требованиях пожарной безопасности</w:t>
        </w:r>
      </w:hyperlink>
      <w:r w:rsidRPr="009F38F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8" w:history="1">
        <w:r w:rsidRPr="009F38FF">
          <w:rPr>
            <w:rFonts w:ascii="Times New Roman" w:eastAsia="Times New Roman" w:hAnsi="Times New Roman" w:cs="Times New Roman"/>
            <w:sz w:val="24"/>
            <w:szCs w:val="24"/>
          </w:rPr>
          <w:t>Федеральный закон от 22 июля 2008 г. № 123-ФЗ</w:t>
        </w:r>
      </w:hyperlink>
      <w:r w:rsidRPr="009F38F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 построек для скота и птицы до соседнего участка – 4 м, 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от прочих построек (бань, гаражей и др.) до соседнего участка – 1 м;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на земельных участках иных видов разрешенного использования – 3 м.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7. Вспомогательные строения, кроме гаражей, размещать со стороны улицы не допускается.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>8. Высота ограждения не более 1,8 м. С целью минимального затенения территорий ограждения между соседними земельными участками должны быть сетчатые или решетчатые.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9.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Хозяйственные постройки строения для содержания домашних животных, скота и птицы в соответствии с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нормативными правовыми документами 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 «</w:t>
      </w:r>
      <w:proofErr w:type="spellStart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Луковецкое</w:t>
      </w:r>
      <w:proofErr w:type="spellEnd"/>
      <w:r w:rsidRPr="009F38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Содержание скота и птицы допускается в районах усадебной застройки с размером участка не менее 0,06 га, в том числе: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- содержание и разведение домашней птицы и кроликов до 20 голов, а также мелкого рогатого скота (овец и коз) до 10 голов;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- содержание и выращивание крупного рогатого скота (2-3 головы);</w:t>
      </w:r>
    </w:p>
    <w:p w:rsidR="009F38FF" w:rsidRPr="009F38FF" w:rsidRDefault="009F38FF" w:rsidP="009F38FF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</w:rPr>
        <w:t>- содержание и выращивание свиноматок (1-2 головы).</w:t>
      </w:r>
    </w:p>
    <w:p w:rsidR="009F38FF" w:rsidRPr="009F38FF" w:rsidRDefault="009F38FF" w:rsidP="009F38FF">
      <w:pPr>
        <w:widowControl w:val="0"/>
        <w:tabs>
          <w:tab w:val="num" w:pos="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10. 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9F38FF" w:rsidRPr="009F38FF" w:rsidRDefault="009F38FF" w:rsidP="009F38FF">
      <w:pPr>
        <w:widowControl w:val="0"/>
        <w:tabs>
          <w:tab w:val="num" w:pos="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38FF">
        <w:rPr>
          <w:rFonts w:ascii="Times New Roman" w:eastAsia="Times New Roman" w:hAnsi="Times New Roman" w:cs="Times New Roman"/>
          <w:sz w:val="24"/>
          <w:szCs w:val="24"/>
          <w:lang w:eastAsia="ar-SA"/>
        </w:rPr>
        <w:t>11. Ограничения использования земельных участков и объектов капитального строительства, находящихся в зоне Ж-1 и расположенных в границах зон с особыми условиями использования территории, устанавливаются в соответствии со статьями 43-53     настоящих Правил.</w:t>
      </w:r>
    </w:p>
    <w:p w:rsidR="00FA5494" w:rsidRDefault="00FA5494"/>
    <w:sectPr w:rsidR="00FA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E66CE"/>
    <w:multiLevelType w:val="hybridMultilevel"/>
    <w:tmpl w:val="6EE00F20"/>
    <w:lvl w:ilvl="0" w:tplc="0419000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8678E2">
      <w:start w:val="1"/>
      <w:numFmt w:val="decimal"/>
      <w:lvlText w:val="%4."/>
      <w:lvlJc w:val="left"/>
      <w:pPr>
        <w:tabs>
          <w:tab w:val="num" w:pos="4755"/>
        </w:tabs>
        <w:ind w:left="4755" w:hanging="360"/>
      </w:pPr>
      <w:rPr>
        <w:b w:val="0"/>
        <w:bCs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02DE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1D0923"/>
    <w:multiLevelType w:val="hybridMultilevel"/>
    <w:tmpl w:val="44A0285E"/>
    <w:lvl w:ilvl="0" w:tplc="D1AC4A60">
      <w:start w:val="1"/>
      <w:numFmt w:val="russianLower"/>
      <w:lvlText w:val="%1)"/>
      <w:lvlJc w:val="left"/>
      <w:pPr>
        <w:tabs>
          <w:tab w:val="num" w:pos="4320"/>
        </w:tabs>
        <w:ind w:left="43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56419F"/>
    <w:multiLevelType w:val="hybridMultilevel"/>
    <w:tmpl w:val="DC066F96"/>
    <w:lvl w:ilvl="0" w:tplc="0419000F">
      <w:start w:val="1"/>
      <w:numFmt w:val="decimal"/>
      <w:lvlText w:val="%1."/>
      <w:lvlJc w:val="left"/>
      <w:pPr>
        <w:tabs>
          <w:tab w:val="num" w:pos="0"/>
        </w:tabs>
        <w:ind w:firstLine="709"/>
      </w:pPr>
      <w:rPr>
        <w:rFonts w:hint="default"/>
      </w:rPr>
    </w:lvl>
    <w:lvl w:ilvl="1" w:tplc="04190019">
      <w:start w:val="1"/>
      <w:numFmt w:val="decimal"/>
      <w:lvlText w:val="%2)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D1A"/>
    <w:rsid w:val="00735D1A"/>
    <w:rsid w:val="009F38FF"/>
    <w:rsid w:val="00D07D67"/>
    <w:rsid w:val="00FA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1164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1116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popular/gskrf/15_5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1942</Words>
  <Characters>11071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3</cp:revision>
  <dcterms:created xsi:type="dcterms:W3CDTF">2020-09-02T08:30:00Z</dcterms:created>
  <dcterms:modified xsi:type="dcterms:W3CDTF">2020-09-02T08:45:00Z</dcterms:modified>
</cp:coreProperties>
</file>