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4B7" w:rsidRPr="00A50122" w:rsidRDefault="00DA3CFD" w:rsidP="00B404B7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proofErr w:type="gramStart"/>
      <w:r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</w:t>
      </w:r>
      <w:r w:rsidR="00C41D15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равил землепользования</w:t>
      </w:r>
      <w:bookmarkStart w:id="0" w:name="_Toc341881271"/>
      <w:bookmarkStart w:id="1" w:name="_Toc350253011"/>
      <w:bookmarkStart w:id="2" w:name="_Toc351475021"/>
      <w:bookmarkStart w:id="3" w:name="_Toc352110692"/>
      <w:bookmarkStart w:id="4" w:name="_Toc352238279"/>
      <w:bookmarkStart w:id="5" w:name="_Toc353367514"/>
      <w:bookmarkStart w:id="6" w:name="_Toc353368795"/>
      <w:bookmarkStart w:id="7" w:name="_Toc353885975"/>
      <w:bookmarkStart w:id="8" w:name="_Toc353974589"/>
      <w:bookmarkStart w:id="9" w:name="_Toc354055400"/>
      <w:bookmarkStart w:id="10" w:name="_Toc355775583"/>
      <w:bookmarkStart w:id="11" w:name="_Toc356379779"/>
      <w:bookmarkStart w:id="12" w:name="_Toc370737108"/>
      <w:bookmarkStart w:id="13" w:name="_Toc370737197"/>
      <w:bookmarkStart w:id="14" w:name="_Toc373398482"/>
      <w:bookmarkStart w:id="15" w:name="_Toc373398540"/>
      <w:bookmarkStart w:id="16" w:name="_Toc421109905"/>
      <w:bookmarkStart w:id="17" w:name="_Toc421120024"/>
      <w:bookmarkStart w:id="18" w:name="_Toc421120247"/>
      <w:bookmarkStart w:id="19" w:name="_Toc421528605"/>
      <w:bookmarkStart w:id="20" w:name="_Toc421627141"/>
      <w:bookmarkStart w:id="21" w:name="_Toc421632229"/>
      <w:bookmarkStart w:id="22" w:name="_Toc421635121"/>
      <w:bookmarkStart w:id="23" w:name="_Toc421707029"/>
      <w:bookmarkStart w:id="24" w:name="_Toc422237331"/>
      <w:bookmarkStart w:id="25" w:name="_Toc430272131"/>
      <w:bookmarkStart w:id="26" w:name="_Toc430882634"/>
      <w:bookmarkStart w:id="27" w:name="_Toc430883026"/>
      <w:bookmarkStart w:id="28" w:name="_Toc431225661"/>
      <w:r w:rsidR="00C41D15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и застройки</w:t>
      </w:r>
      <w:bookmarkStart w:id="29" w:name="_Toc370737109"/>
      <w:bookmarkStart w:id="30" w:name="_Toc370737198"/>
      <w:bookmarkStart w:id="31" w:name="_Toc373398483"/>
      <w:bookmarkStart w:id="32" w:name="_Toc373398541"/>
      <w:bookmarkStart w:id="33" w:name="_Toc421109906"/>
      <w:bookmarkStart w:id="34" w:name="_Toc421120025"/>
      <w:bookmarkStart w:id="35" w:name="_Toc421120248"/>
      <w:bookmarkStart w:id="36" w:name="_Toc421528606"/>
      <w:bookmarkStart w:id="37" w:name="_Toc421627142"/>
      <w:bookmarkStart w:id="38" w:name="_Toc421632230"/>
      <w:bookmarkStart w:id="39" w:name="_Toc421635122"/>
      <w:bookmarkStart w:id="40" w:name="_Toc421707030"/>
      <w:bookmarkStart w:id="41" w:name="_Toc422237332"/>
      <w:bookmarkStart w:id="42" w:name="_Toc430272132"/>
      <w:bookmarkStart w:id="43" w:name="_Toc430882635"/>
      <w:bookmarkStart w:id="44" w:name="_Toc430883027"/>
      <w:bookmarkStart w:id="45" w:name="_Toc431225662"/>
      <w:bookmarkStart w:id="46" w:name="_Toc352110694"/>
      <w:bookmarkStart w:id="47" w:name="_Toc352238281"/>
      <w:bookmarkStart w:id="48" w:name="_Toc353367516"/>
      <w:bookmarkStart w:id="49" w:name="_Toc353368797"/>
      <w:bookmarkStart w:id="50" w:name="_Toc353885977"/>
      <w:bookmarkStart w:id="51" w:name="_Toc353974591"/>
      <w:bookmarkStart w:id="52" w:name="_Toc354055402"/>
      <w:bookmarkStart w:id="53" w:name="_Toc355775585"/>
      <w:bookmarkStart w:id="54" w:name="_Toc35637978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="00C41D15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bookmarkStart w:id="55" w:name="_Toc258228310"/>
      <w:bookmarkStart w:id="56" w:name="_Toc281221524"/>
      <w:bookmarkStart w:id="57" w:name="_Toc395282219"/>
      <w:bookmarkStart w:id="58" w:name="_Toc415145648"/>
      <w:bookmarkStart w:id="59" w:name="_Toc419817021"/>
      <w:bookmarkStart w:id="60" w:name="_Toc421022274"/>
      <w:bookmarkStart w:id="61" w:name="_Toc437520202"/>
      <w:bookmarkStart w:id="62" w:name="_Toc20828178"/>
      <w:bookmarkStart w:id="63" w:name="_Toc29644850"/>
      <w:bookmarkStart w:id="64" w:name="_Toc29650426"/>
      <w:bookmarkStart w:id="65" w:name="_Toc29650536"/>
      <w:bookmarkStart w:id="66" w:name="_Toc29651184"/>
      <w:bookmarkStart w:id="67" w:name="_Toc134774952"/>
      <w:bookmarkStart w:id="68" w:name="_Toc134800644"/>
      <w:bookmarkStart w:id="69" w:name="_Toc139027263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="00DC7AAE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части территории Холмогорского муниципального округа Архангельской области, </w:t>
      </w:r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в границы которой входят территории деревень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Анашкино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Андрияновская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Белая Гора, Большое Залесье, Бор, Боярская,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Бушково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Вавчуга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Даниловская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Демидово,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Демушино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Жучково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Залыва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Заручевье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Ивлево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Ильино,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Кичижно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Косновская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Кочерино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Красное Село,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Кузополье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Лубянки,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Лыжино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Макарово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Малое Залесье,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Марково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Мироново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Митревщина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Неверово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Некрасово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Обухово, Осина Гора,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Пекишево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Перхуровская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, Побоище, Погост</w:t>
      </w:r>
      <w:proofErr w:type="gram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Подгорье,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Подсосны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Почапы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gram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Разлог</w:t>
      </w:r>
      <w:proofErr w:type="gram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Смольниковская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Спасская, Строительская, Сурово, Татаурово,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Телепниха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Тихновская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Третьяково,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Трехновская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Тряпицыно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Харитоново, </w:t>
      </w:r>
      <w:proofErr w:type="spellStart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Ходчино</w:t>
      </w:r>
      <w:proofErr w:type="spellEnd"/>
      <w:r w:rsidR="00B404B7"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</w:p>
    <w:p w:rsidR="00DC7AAE" w:rsidRPr="00A50122" w:rsidRDefault="00B404B7" w:rsidP="00B404B7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и сел </w:t>
      </w:r>
      <w:proofErr w:type="spellStart"/>
      <w:r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Ломоносово</w:t>
      </w:r>
      <w:proofErr w:type="spellEnd"/>
      <w:r w:rsidRPr="00A5012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и Холмогоры</w:t>
      </w:r>
    </w:p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p w:rsidR="00B404B7" w:rsidRPr="00A50122" w:rsidRDefault="00B404B7" w:rsidP="00855A9B">
      <w:pPr>
        <w:keepNext/>
        <w:widowControl w:val="0"/>
        <w:numPr>
          <w:ilvl w:val="2"/>
          <w:numId w:val="3"/>
        </w:numPr>
        <w:tabs>
          <w:tab w:val="left" w:pos="0"/>
        </w:tabs>
        <w:suppressAutoHyphens/>
        <w:snapToGrid w:val="0"/>
        <w:spacing w:before="240" w:after="24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0122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21. Предоставление разрешения на условно разрешенный вид использования земельного участка или объекта капитального строительства</w:t>
      </w:r>
    </w:p>
    <w:p w:rsidR="00B404B7" w:rsidRPr="00A50122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A501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комиссию, указанную в части 5 статьи 7 настоящих Правил. </w:t>
      </w:r>
      <w:r w:rsidRPr="00A501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</w:t>
      </w:r>
      <w:hyperlink r:id="rId8" w:anchor="/document/12184522/entry/0" w:history="1">
        <w:r w:rsidRPr="00A50122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Федерального закона</w:t>
        </w:r>
      </w:hyperlink>
      <w:r w:rsidRPr="00A501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6 апреля 2011 года № 63-ФЗ «Об электронной подписи» (далее – электронный документ, подписанный электронной подписью).</w:t>
      </w:r>
    </w:p>
    <w:p w:rsidR="00B404B7" w:rsidRPr="00A50122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012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A501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01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Градостроительным кодексом </w:t>
      </w:r>
      <w:r w:rsidRPr="00A5012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A50122">
        <w:rPr>
          <w:rFonts w:ascii="Times New Roman" w:eastAsia="Times New Roman" w:hAnsi="Times New Roman" w:cs="Times New Roman"/>
          <w:sz w:val="28"/>
          <w:szCs w:val="28"/>
          <w:lang w:eastAsia="ar-SA"/>
        </w:rPr>
        <w:t>, с учетом положений настоящих Правил.</w:t>
      </w:r>
    </w:p>
    <w:p w:rsidR="00B404B7" w:rsidRPr="00A50122" w:rsidRDefault="00B404B7" w:rsidP="00B404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5 статьи 7 настоящих Правил. </w:t>
      </w:r>
    </w:p>
    <w:p w:rsidR="00B404B7" w:rsidRPr="00A50122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2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501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A50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комиссия, указанная в части 5 статьи 7 настоящих Правил, осуществляет подготовку рекомендаций о предоставлении разрешения на </w:t>
      </w:r>
      <w:r w:rsidRPr="00A501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условно разрешенный вид использования или об отказе в предоставлении такого разрешения с указанием причин принятого решения и направляет их главе Округа.</w:t>
      </w:r>
      <w:proofErr w:type="gramEnd"/>
    </w:p>
    <w:p w:rsidR="00B404B7" w:rsidRPr="00A50122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B404B7" w:rsidRPr="00A50122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2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A501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основании рекомендаций, указанных в части 3 настоящей статьи, глава администрации Округа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Округа в информационно-телекоммуникационной сети «Интернет».</w:t>
      </w:r>
    </w:p>
    <w:p w:rsidR="00B404B7" w:rsidRPr="00A50122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22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A501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случае</w:t>
      </w:r>
      <w:proofErr w:type="gramStart"/>
      <w:r w:rsidRPr="00A501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A50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B404B7" w:rsidRPr="00A50122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1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A501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9" w:history="1">
        <w:r w:rsidRPr="00A50122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55.32</w:t>
        </w:r>
      </w:hyperlink>
      <w:r w:rsidRPr="00A501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Федерации, не допускается предоставление разрешения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A501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501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0" w:history="1">
        <w:r w:rsidRPr="00A50122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55.32</w:t>
        </w:r>
      </w:hyperlink>
      <w:r w:rsidRPr="00A501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A501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B404B7" w:rsidRPr="00A50122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</w:t>
      </w:r>
      <w:r w:rsidRPr="00A501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Деятельность администрации Округа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B404B7" w:rsidRPr="00A50122" w:rsidRDefault="00B404B7" w:rsidP="00B404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Округа.</w:t>
      </w:r>
    </w:p>
    <w:p w:rsidR="00855A9B" w:rsidRPr="00A50122" w:rsidRDefault="00855A9B" w:rsidP="00B404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93F" w:rsidRPr="00A50122" w:rsidRDefault="009C493F" w:rsidP="009C493F">
      <w:pPr>
        <w:pStyle w:val="4"/>
        <w:keepLines w:val="0"/>
        <w:numPr>
          <w:ilvl w:val="2"/>
          <w:numId w:val="0"/>
        </w:numPr>
        <w:spacing w:before="240" w:after="240"/>
        <w:ind w:firstLine="709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</w:rPr>
      </w:pPr>
      <w:r w:rsidRPr="00A5012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Статья 27.1. Ж-1. Зона застройки индивидуальными жилыми домами</w:t>
      </w:r>
    </w:p>
    <w:p w:rsidR="009C493F" w:rsidRPr="00A50122" w:rsidRDefault="009C493F" w:rsidP="009C493F">
      <w:pPr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A50122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строительства, в том числе предельные параметры разрешенного строительства, реконструкции объектов капитального строительства для зоны Ж-1 представлены в таблице 2.1.</w:t>
      </w:r>
    </w:p>
    <w:p w:rsidR="009C493F" w:rsidRPr="00A50122" w:rsidRDefault="009C493F" w:rsidP="009C493F">
      <w:pPr>
        <w:pStyle w:val="ConsNormal"/>
        <w:spacing w:line="300" w:lineRule="auto"/>
        <w:ind w:right="0" w:firstLine="708"/>
        <w:jc w:val="right"/>
        <w:rPr>
          <w:rFonts w:ascii="Times New Roman" w:hAnsi="Times New Roman" w:cs="Times New Roman"/>
          <w:sz w:val="24"/>
          <w:szCs w:val="24"/>
        </w:rPr>
        <w:sectPr w:rsidR="009C493F" w:rsidRPr="00A50122" w:rsidSect="00A50122">
          <w:headerReference w:type="first" r:id="rId11"/>
          <w:footerReference w:type="first" r:id="rId12"/>
          <w:pgSz w:w="11906" w:h="16838"/>
          <w:pgMar w:top="1134" w:right="567" w:bottom="1134" w:left="1134" w:header="567" w:footer="567" w:gutter="0"/>
          <w:cols w:space="708"/>
          <w:titlePg/>
          <w:docGrid w:linePitch="381"/>
        </w:sectPr>
      </w:pPr>
    </w:p>
    <w:p w:rsidR="009C493F" w:rsidRPr="00A50122" w:rsidRDefault="009C493F" w:rsidP="009C493F">
      <w:pPr>
        <w:spacing w:line="30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0122">
        <w:rPr>
          <w:rFonts w:ascii="Times New Roman" w:hAnsi="Times New Roman" w:cs="Times New Roman"/>
          <w:sz w:val="24"/>
          <w:szCs w:val="24"/>
        </w:rPr>
        <w:lastRenderedPageBreak/>
        <w:t>Таблица 2.1</w:t>
      </w:r>
    </w:p>
    <w:p w:rsidR="009C493F" w:rsidRPr="00A50122" w:rsidRDefault="009C493F" w:rsidP="009C493F">
      <w:pPr>
        <w:tabs>
          <w:tab w:val="left" w:pos="709"/>
          <w:tab w:val="left" w:pos="851"/>
        </w:tabs>
        <w:spacing w:line="300" w:lineRule="auto"/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r w:rsidRPr="00A50122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строительства, в том числе предельные параметры разрешенного строительства, реконструкции объектов капитального строительства для зоны Ж-1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3148"/>
        <w:gridCol w:w="473"/>
        <w:gridCol w:w="2524"/>
        <w:gridCol w:w="3299"/>
      </w:tblGrid>
      <w:tr w:rsidR="009C493F" w:rsidRPr="00A50122" w:rsidTr="00A50122">
        <w:trPr>
          <w:trHeight w:val="24"/>
        </w:trPr>
        <w:tc>
          <w:tcPr>
            <w:tcW w:w="245" w:type="pct"/>
            <w:shd w:val="clear" w:color="auto" w:fill="FFFFFF"/>
            <w:vAlign w:val="center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50122">
              <w:rPr>
                <w:rFonts w:ascii="Times New Roman" w:hAnsi="Times New Roman" w:cs="Times New Roman"/>
                <w:b/>
                <w:sz w:val="20"/>
              </w:rPr>
              <w:t>№</w:t>
            </w:r>
          </w:p>
        </w:tc>
        <w:tc>
          <w:tcPr>
            <w:tcW w:w="1585" w:type="pct"/>
            <w:shd w:val="clear" w:color="auto" w:fill="FFFFFF"/>
            <w:vAlign w:val="center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50122">
              <w:rPr>
                <w:rFonts w:ascii="Times New Roman" w:hAnsi="Times New Roman" w:cs="Times New Roman"/>
                <w:b/>
                <w:sz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238" w:type="pct"/>
            <w:shd w:val="clear" w:color="auto" w:fill="FFFFFF"/>
            <w:vAlign w:val="center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50122">
              <w:rPr>
                <w:rFonts w:ascii="Times New Roman" w:hAnsi="Times New Roman" w:cs="Times New Roman"/>
                <w:b/>
                <w:sz w:val="20"/>
              </w:rPr>
              <w:t>Код</w:t>
            </w:r>
          </w:p>
        </w:tc>
        <w:tc>
          <w:tcPr>
            <w:tcW w:w="1271" w:type="pct"/>
            <w:shd w:val="clear" w:color="auto" w:fill="FFFFFF"/>
            <w:vAlign w:val="center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50122">
              <w:rPr>
                <w:rFonts w:ascii="Times New Roman" w:hAnsi="Times New Roman" w:cs="Times New Roman"/>
                <w:b/>
                <w:sz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661" w:type="pct"/>
            <w:shd w:val="clear" w:color="auto" w:fill="FFFFFF"/>
            <w:vAlign w:val="center"/>
          </w:tcPr>
          <w:p w:rsidR="009C493F" w:rsidRPr="00A50122" w:rsidRDefault="009C493F" w:rsidP="00A50122">
            <w:pPr>
              <w:ind w:firstLine="2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50122">
              <w:rPr>
                <w:rFonts w:ascii="Times New Roman" w:hAnsi="Times New Roman" w:cs="Times New Roman"/>
                <w:b/>
                <w:sz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</w:tbl>
    <w:p w:rsidR="009C493F" w:rsidRPr="00A50122" w:rsidRDefault="009C493F" w:rsidP="009C493F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"/>
        <w:gridCol w:w="3139"/>
        <w:gridCol w:w="510"/>
        <w:gridCol w:w="2515"/>
        <w:gridCol w:w="3290"/>
      </w:tblGrid>
      <w:tr w:rsidR="009C493F" w:rsidRPr="00A50122" w:rsidTr="00A50122">
        <w:trPr>
          <w:trHeight w:val="20"/>
          <w:tblHeader/>
        </w:trPr>
        <w:tc>
          <w:tcPr>
            <w:tcW w:w="245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38" w:type="pct"/>
            <w:shd w:val="clear" w:color="auto" w:fill="FFFFFF"/>
            <w:vAlign w:val="center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A50122">
            <w:pPr>
              <w:ind w:firstLine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A50122">
            <w:pPr>
              <w:ind w:left="53" w:right="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755" w:type="pct"/>
            <w:gridSpan w:val="4"/>
            <w:shd w:val="clear" w:color="auto" w:fill="FFFFFF"/>
          </w:tcPr>
          <w:p w:rsidR="009C493F" w:rsidRPr="00A50122" w:rsidRDefault="009C493F" w:rsidP="00A50122">
            <w:pPr>
              <w:ind w:left="53" w:right="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2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выращивание сельскохозяйственных культур;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600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3000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до объекта индивидуального жилищного строительства – 3 м;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улиц –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 м.;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проездов – 3 м.;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других построек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(за исключением объекта индивидуального жилищного строительства) до границы смежного земельного участка – 1 м;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</w:t>
            </w:r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9C493F" w:rsidRPr="00A50122" w:rsidRDefault="009C493F" w:rsidP="009C493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максимальное количество этажей объекта индивидуального жилищного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строительства – 3;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индивидуального жилищного строительства – 20 м;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бани – 8 м;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9C493F" w:rsidRPr="00A50122" w:rsidRDefault="009C493F" w:rsidP="009C493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30;</w:t>
            </w:r>
          </w:p>
          <w:p w:rsidR="009C493F" w:rsidRPr="00A50122" w:rsidRDefault="009C493F" w:rsidP="009C493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ограждения земельного участка – 1,8 м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2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разведение декоративных и плодовых деревьев, овощных и ягодных культур; 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гаражей для собственных нужд и иных вспомогательных сооружений; 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1000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1500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границ земельного участка до объекта жилищного строительства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3 м;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красных линий улиц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 м;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проездов – 3 м;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минимальное расстояние от других построек (за исключением объекта жилищного строительства) до границы смежного земельного участка – 1 м;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</w:t>
            </w:r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9C493F" w:rsidRPr="00A50122" w:rsidRDefault="009C493F" w:rsidP="009C493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Предельное количество этажей или предельная </w:t>
            </w: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высота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объекта жилищного строительства – 3;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жилищного строительства – 14 м;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бани – 8 м;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9C493F" w:rsidRPr="00A50122" w:rsidRDefault="009C493F" w:rsidP="009C493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50;</w:t>
            </w:r>
          </w:p>
          <w:p w:rsidR="009C493F" w:rsidRPr="00A50122" w:rsidRDefault="009C493F" w:rsidP="009C493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ограждения земельного участка – 1,8 м;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максимальное общее количество совмещенных домов блокированного жилого дома – 2 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2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жилого дома, указанного в описании вида разрешенного использования с кодом 2.1 Классификатора;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производство сельскохозяйственной продукции;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гаража и иных вспомогательных сооружений;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содержание сельскохозяйственных животных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800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3000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до объекта индивидуального жилищного строительства – 3 м;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минимальное расстояние от других построек (за исключением объекта индивидуального жилищного строительства) до границы смежного земельного участка – 1 м;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</w:t>
            </w:r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оседнего земельного участка до объекта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индивидуального жилищного строительства – 3 м.</w:t>
            </w:r>
          </w:p>
          <w:p w:rsidR="009C493F" w:rsidRPr="00A50122" w:rsidRDefault="009C493F" w:rsidP="009C493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объекта индивидуального жилищного строительства – 3;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индивидуального жилищного строительства – 20 м;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бани – 8 м;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9C493F" w:rsidRPr="00A50122" w:rsidRDefault="009C493F" w:rsidP="009C493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30;</w:t>
            </w:r>
          </w:p>
          <w:p w:rsidR="009C493F" w:rsidRPr="00A50122" w:rsidRDefault="009C493F" w:rsidP="009C493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9C493F" w:rsidRPr="00A50122" w:rsidRDefault="009C493F" w:rsidP="009C493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ограждения земельного участка – 1,8 м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2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5.1.3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8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 м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6" w:right="59" w:hanging="283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5000 м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9C493F" w:rsidRPr="00A50122" w:rsidRDefault="009C493F" w:rsidP="009C493F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9C493F" w:rsidRPr="00A50122" w:rsidRDefault="009C493F" w:rsidP="009C493F">
            <w:pPr>
              <w:numPr>
                <w:ilvl w:val="0"/>
                <w:numId w:val="28"/>
              </w:numPr>
              <w:tabs>
                <w:tab w:val="left" w:pos="440"/>
              </w:tabs>
              <w:autoSpaceDE w:val="0"/>
              <w:autoSpaceDN w:val="0"/>
              <w:adjustRightInd w:val="0"/>
              <w:spacing w:after="0" w:line="240" w:lineRule="auto"/>
              <w:ind w:left="57" w:right="59" w:firstLine="5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установлению.</w:t>
            </w:r>
          </w:p>
          <w:p w:rsidR="009C493F" w:rsidRPr="00A50122" w:rsidRDefault="009C493F" w:rsidP="009C493F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9C493F" w:rsidRPr="00A50122" w:rsidRDefault="009C493F" w:rsidP="00A50122">
            <w:pPr>
              <w:autoSpaceDE w:val="0"/>
              <w:autoSpaceDN w:val="0"/>
              <w:adjustRightInd w:val="0"/>
              <w:ind w:left="427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–   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2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5.1.2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8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 м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6" w:right="59" w:hanging="283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30000 м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9C493F" w:rsidRPr="00A50122" w:rsidRDefault="009C493F" w:rsidP="009C493F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9C493F" w:rsidRPr="00A50122" w:rsidRDefault="009C493F" w:rsidP="009C493F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A50122" w:rsidRDefault="009C493F" w:rsidP="009C493F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bCs/>
                <w:sz w:val="20"/>
              </w:rPr>
              <w:t>максимальный процент застройки земельного участка – 70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2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Магазины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5000</w:t>
            </w: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6" w:right="59" w:hanging="283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200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76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</w:t>
            </w: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 xml:space="preserve"> размеры земельного участка – </w:t>
            </w:r>
            <w:r w:rsidRPr="00A50122">
              <w:rPr>
                <w:rFonts w:ascii="Times New Roman" w:hAnsi="Times New Roman" w:cs="Times New Roman"/>
                <w:sz w:val="20"/>
                <w:szCs w:val="20"/>
              </w:rPr>
              <w:br/>
              <w:t>5000 кв. м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9C493F" w:rsidRPr="00A50122" w:rsidRDefault="009C493F" w:rsidP="009C493F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9C493F" w:rsidRPr="00A50122" w:rsidRDefault="009C493F" w:rsidP="009C493F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A50122" w:rsidRDefault="009C493F" w:rsidP="009C493F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максимальный процент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застройки земельного участка – 80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2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Ведение огородничества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200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2000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9C493F" w:rsidRPr="00A50122" w:rsidRDefault="009C493F" w:rsidP="009C493F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подлежат установлению;</w:t>
            </w:r>
          </w:p>
          <w:p w:rsidR="009C493F" w:rsidRPr="00A50122" w:rsidRDefault="009C493F" w:rsidP="009C493F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Максимальная высота здания (этажность)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установлению;</w:t>
            </w:r>
          </w:p>
          <w:p w:rsidR="009C493F" w:rsidRPr="00A50122" w:rsidRDefault="009C493F" w:rsidP="009C493F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Максимальный процент застройки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2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Ведение садоводства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для собственных нужд садового дома, жилого дома, указанного в описании вида разрешенного использования с кодом 2.1 Классификатора, хозяйственных построек и гаражей для собственных нужд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600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1500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до объекта индивидуального жилищного строительства – 3 м;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минимальное расстояние от других построек (за исключением объекта индивидуального жилищного строительства) до границы смежного земельного участка – 1 м;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</w:t>
            </w:r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9C493F" w:rsidRPr="00A50122" w:rsidRDefault="009C493F" w:rsidP="009C493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объекта индивидуального жилищного строительства – 3;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максимальное количество этажей бани – 2;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индивидуального жилищного строительства – 20 м;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бани – 8 м;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9C493F" w:rsidRPr="00A50122" w:rsidRDefault="009C493F" w:rsidP="009C493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30;</w:t>
            </w:r>
          </w:p>
          <w:p w:rsidR="009C493F" w:rsidRPr="00A50122" w:rsidRDefault="009C493F" w:rsidP="009C493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9C493F" w:rsidRPr="00A50122" w:rsidRDefault="009C493F" w:rsidP="00A50122">
            <w:pPr>
              <w:autoSpaceDE w:val="0"/>
              <w:autoSpaceDN w:val="0"/>
              <w:adjustRightInd w:val="0"/>
              <w:ind w:left="427" w:right="5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ограждения земельного участка – 1,8 м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2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96" w:right="59" w:hanging="343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уборочной,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4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подлежат установлению.</w:t>
            </w:r>
          </w:p>
          <w:p w:rsidR="009C493F" w:rsidRPr="00A50122" w:rsidRDefault="009C493F" w:rsidP="009C493F">
            <w:pPr>
              <w:numPr>
                <w:ilvl w:val="0"/>
                <w:numId w:val="24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подлежат установлению.</w:t>
            </w:r>
          </w:p>
          <w:p w:rsidR="009C493F" w:rsidRPr="00A50122" w:rsidRDefault="009C493F" w:rsidP="009C493F">
            <w:pPr>
              <w:numPr>
                <w:ilvl w:val="0"/>
                <w:numId w:val="24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Максимальная высота здания (этажность)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установлению.</w:t>
            </w:r>
          </w:p>
          <w:p w:rsidR="009C493F" w:rsidRPr="00A50122" w:rsidRDefault="009C493F" w:rsidP="009C493F">
            <w:pPr>
              <w:numPr>
                <w:ilvl w:val="0"/>
                <w:numId w:val="24"/>
              </w:num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Максимальный процент застройки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2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Земельные участки (территории) общего пользования 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разрешенного использования с кодами 12.0.1 – 12.0.2 Классификатора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подлежат установлению.</w:t>
            </w:r>
          </w:p>
          <w:p w:rsidR="009C493F" w:rsidRPr="00A50122" w:rsidRDefault="009C493F" w:rsidP="009C493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</w:t>
            </w: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объекта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подлежат установлению</w:t>
            </w: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Максимальная высота здания (этажность)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установлению.</w:t>
            </w:r>
          </w:p>
          <w:p w:rsidR="009C493F" w:rsidRPr="00A50122" w:rsidRDefault="009C493F" w:rsidP="009C493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Максимальный процент застройки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A50122">
            <w:pPr>
              <w:ind w:left="53" w:right="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4755" w:type="pct"/>
            <w:gridSpan w:val="4"/>
            <w:shd w:val="clear" w:color="auto" w:fill="FFFFFF"/>
          </w:tcPr>
          <w:p w:rsidR="009C493F" w:rsidRPr="00A50122" w:rsidRDefault="009C493F" w:rsidP="00A50122">
            <w:pPr>
              <w:ind w:left="53" w:right="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мансардный</w:t>
            </w:r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обустройство спортивных и детских площадок, площадок для отдыха;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15 % общей площади помещений дома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400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10000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границ земельного участка до жилого дома – 3 м.; 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красных линий улиц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 м.;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проездов – 3 м;</w:t>
            </w:r>
          </w:p>
          <w:p w:rsidR="009C493F" w:rsidRPr="00A50122" w:rsidRDefault="009C493F" w:rsidP="009C493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4;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– 20 м;</w:t>
            </w:r>
          </w:p>
          <w:p w:rsidR="009C493F" w:rsidRPr="00A50122" w:rsidRDefault="009C493F" w:rsidP="009C493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60;</w:t>
            </w:r>
          </w:p>
          <w:p w:rsidR="009C493F" w:rsidRPr="00A50122" w:rsidRDefault="009C493F" w:rsidP="009C493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минимальный процент озеленения – 25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Среднеэтажная</w:t>
            </w:r>
            <w:proofErr w:type="spellEnd"/>
            <w:r w:rsidRPr="00A50122">
              <w:rPr>
                <w:rFonts w:ascii="Times New Roman" w:hAnsi="Times New Roman" w:cs="Times New Roman"/>
                <w:sz w:val="20"/>
                <w:szCs w:val="20"/>
              </w:rPr>
              <w:t xml:space="preserve"> жилая застройка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азмещение многоквартирных домов этажностью не выше восьми этажей;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благоустройство и озеленение;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подземных гаражей и автостоянок;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обустройство спортивных и детских площадок, площадок для отдыха;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объектов обслуживания жилой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20 % общей площади помещений дома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-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1000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10000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границ земельного участка до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жилого дома – 3 м.; 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красных линий улиц -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 м.;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проездов – 3 м.;</w:t>
            </w:r>
          </w:p>
          <w:p w:rsidR="009C493F" w:rsidRPr="00A50122" w:rsidRDefault="009C493F" w:rsidP="009C493F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8;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– 34 м;</w:t>
            </w:r>
          </w:p>
          <w:p w:rsidR="009C493F" w:rsidRPr="00A50122" w:rsidRDefault="009C493F" w:rsidP="009C493F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</w:t>
            </w:r>
          </w:p>
          <w:p w:rsidR="009C493F" w:rsidRPr="00A50122" w:rsidRDefault="009C493F" w:rsidP="009C493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максимальный процент застройки земельного участка – </w:t>
            </w:r>
            <w:r w:rsidRPr="00A50122"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 xml:space="preserve">некоммерческих фондов,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благотворительных</w:t>
            </w: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организаций, клубов по интересам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700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5000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9C493F" w:rsidRPr="00A50122" w:rsidRDefault="009C493F" w:rsidP="009C493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9C493F" w:rsidRPr="00A50122" w:rsidRDefault="009C493F" w:rsidP="009C493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Оказание услуг связи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зданий, предназначенных для размещения пунктов оказания услуг почтовой, телеграфной,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междугородней</w:t>
            </w: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 xml:space="preserve"> и международной телефонной связи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78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78" w:hanging="283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700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tabs>
                <w:tab w:val="left" w:pos="435"/>
              </w:tabs>
              <w:spacing w:after="0" w:line="240" w:lineRule="auto"/>
              <w:ind w:left="435" w:hanging="284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5000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78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Минимальные отступы от границ земельных участков в целях определения допустимого размещения </w:t>
            </w: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78" w:hanging="283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9C493F" w:rsidRPr="00A50122" w:rsidRDefault="009C493F" w:rsidP="009C493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78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78" w:hanging="283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9C493F" w:rsidRPr="00A50122" w:rsidRDefault="009C493F" w:rsidP="009C493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78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A50122" w:rsidRDefault="009C493F" w:rsidP="009C493F">
            <w:pPr>
              <w:pStyle w:val="aa"/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snapToGrid/>
              <w:ind w:left="478" w:hanging="283"/>
              <w:jc w:val="left"/>
              <w:rPr>
                <w:b/>
                <w:bCs/>
                <w:sz w:val="20"/>
                <w:lang w:eastAsia="en-US"/>
              </w:rPr>
            </w:pPr>
            <w:r w:rsidRPr="00A50122">
              <w:rPr>
                <w:bCs/>
                <w:sz w:val="20"/>
                <w:lang w:eastAsia="en-US"/>
              </w:rPr>
              <w:t>максимальный процент застройки земельного участка – 70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3.4.1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</w:p>
          <w:p w:rsidR="009C493F" w:rsidRPr="00A50122" w:rsidRDefault="009C493F" w:rsidP="00A50122">
            <w:pPr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500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tabs>
                <w:tab w:val="left" w:pos="435"/>
              </w:tabs>
              <w:spacing w:after="0" w:line="240" w:lineRule="auto"/>
              <w:ind w:left="435" w:hanging="284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10000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9C493F" w:rsidRPr="00A50122" w:rsidRDefault="009C493F" w:rsidP="009C493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9C493F" w:rsidRPr="00A50122" w:rsidRDefault="009C493F" w:rsidP="009C493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A50122" w:rsidRDefault="009C493F" w:rsidP="009C493F">
            <w:pPr>
              <w:pStyle w:val="aa"/>
              <w:numPr>
                <w:ilvl w:val="0"/>
                <w:numId w:val="26"/>
              </w:numPr>
              <w:suppressAutoHyphens w:val="0"/>
              <w:snapToGrid/>
              <w:ind w:left="478" w:right="50" w:hanging="283"/>
              <w:jc w:val="left"/>
              <w:rPr>
                <w:bCs/>
                <w:sz w:val="20"/>
                <w:lang w:eastAsia="en-US"/>
              </w:rPr>
            </w:pPr>
            <w:r w:rsidRPr="00A50122">
              <w:rPr>
                <w:bCs/>
                <w:sz w:val="20"/>
                <w:lang w:eastAsia="en-US"/>
              </w:rPr>
              <w:t>максимальный процент застройки земельного участка – 70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3.5.1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A50122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</w:t>
            </w:r>
            <w:r w:rsidRPr="00A501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физической</w:t>
            </w: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 xml:space="preserve"> культурой и спортом</w:t>
            </w:r>
            <w:proofErr w:type="gramEnd"/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для объектов дошкольного образования минимальные размеры земельного участка для отдельно стоящего объекта:</w:t>
            </w:r>
          </w:p>
          <w:p w:rsidR="009C493F" w:rsidRPr="00A50122" w:rsidRDefault="009C493F" w:rsidP="009C493F">
            <w:pPr>
              <w:numPr>
                <w:ilvl w:val="1"/>
                <w:numId w:val="31"/>
              </w:numPr>
              <w:spacing w:after="0" w:line="240" w:lineRule="auto"/>
              <w:ind w:left="994" w:right="50" w:hanging="28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при вместимости до 100 мест – 40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на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 чел.;</w:t>
            </w:r>
          </w:p>
          <w:p w:rsidR="009C493F" w:rsidRPr="00A50122" w:rsidRDefault="009C493F" w:rsidP="009C493F">
            <w:pPr>
              <w:numPr>
                <w:ilvl w:val="1"/>
                <w:numId w:val="31"/>
              </w:numPr>
              <w:spacing w:after="0" w:line="240" w:lineRule="auto"/>
              <w:ind w:left="994" w:right="50" w:hanging="28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при вместимости свыше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100 мест – 35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на 1 чел.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для объектов общеобразовательного назначения минимальные размеры земельного участка при вместимости до 400 мест – 50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на 1 чел.;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tabs>
                <w:tab w:val="left" w:pos="435"/>
              </w:tabs>
              <w:spacing w:after="0" w:line="240" w:lineRule="auto"/>
              <w:ind w:left="435" w:hanging="284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10000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минимальный отступ от красной линии – 25 м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9C493F" w:rsidRPr="00A50122" w:rsidRDefault="009C493F" w:rsidP="009C493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для объектов дошкольного образования – 2;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для объектов общеобразовательного назначения – 4;</w:t>
            </w:r>
          </w:p>
          <w:p w:rsidR="009C493F" w:rsidRPr="00A50122" w:rsidRDefault="009C493F" w:rsidP="009C493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для размещения объектов дошкольного образования – 20;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для размещения объектов общеобразовательного назначения – 40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3.6.1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A50122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планетариев</w:t>
            </w:r>
            <w:proofErr w:type="gramEnd"/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78" w:hanging="283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600 м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5000 м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Минимальные отступы от границ земельных участков в целях определения допустимого размещения зданий, строений, </w:t>
            </w: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9C493F" w:rsidRPr="00A50122" w:rsidRDefault="009C493F" w:rsidP="009C493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9C493F" w:rsidRPr="00A50122" w:rsidRDefault="009C493F" w:rsidP="009C493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0" w:name="_GoBack"/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3.7.1-3.7.2 Классификатора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35"/>
              </w:numPr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ind w:left="9" w:firstLine="142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</w:p>
          <w:p w:rsidR="009C493F" w:rsidRPr="00A50122" w:rsidRDefault="009C493F" w:rsidP="00A50122">
            <w:pPr>
              <w:tabs>
                <w:tab w:val="left" w:pos="435"/>
              </w:tabs>
              <w:ind w:left="435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 кв. м;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</w:p>
          <w:p w:rsidR="009C493F" w:rsidRPr="00A50122" w:rsidRDefault="009C493F" w:rsidP="00A50122">
            <w:pPr>
              <w:tabs>
                <w:tab w:val="left" w:pos="435"/>
              </w:tabs>
              <w:ind w:left="435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2000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35" w:right="59" w:hanging="284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576" w:right="50" w:hanging="425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не подлежит установлению.</w:t>
            </w:r>
          </w:p>
          <w:p w:rsidR="009C493F" w:rsidRPr="00A50122" w:rsidRDefault="009C493F" w:rsidP="009C493F">
            <w:pPr>
              <w:numPr>
                <w:ilvl w:val="0"/>
                <w:numId w:val="35"/>
              </w:numPr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left="435" w:right="59" w:hanging="284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9" w:right="50" w:firstLine="14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– 30 м;</w:t>
            </w:r>
          </w:p>
          <w:p w:rsidR="009C493F" w:rsidRPr="00A50122" w:rsidRDefault="009C493F" w:rsidP="009C493F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35" w:right="59" w:hanging="284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bookmarkEnd w:id="70"/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3.7.1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зданий и сооружений, предназначенных для совершения религиозных обрядов и церемоний (в том числе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церкви</w:t>
            </w: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, соборы, храмы, часовни, мечети, молельные дома, синагоги)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7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</w:p>
          <w:p w:rsidR="009C493F" w:rsidRPr="00A50122" w:rsidRDefault="009C493F" w:rsidP="00A50122">
            <w:pPr>
              <w:ind w:left="47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7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2000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Минимальные отступы от границ земельных участков в целях определения </w:t>
            </w: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допустимого размещения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9C493F" w:rsidRPr="00A50122" w:rsidRDefault="009C493F" w:rsidP="009C493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– 30 м;</w:t>
            </w:r>
          </w:p>
          <w:p w:rsidR="009C493F" w:rsidRPr="00A50122" w:rsidRDefault="009C493F" w:rsidP="009C493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2.7.2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478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10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800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9C493F" w:rsidRPr="00A50122" w:rsidRDefault="009C493F" w:rsidP="009C493F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подлежат установлению;</w:t>
            </w:r>
          </w:p>
          <w:p w:rsidR="009C493F" w:rsidRPr="00A50122" w:rsidRDefault="009C493F" w:rsidP="009C493F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 –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максимальное количество этажей объекта - 1;</w:t>
            </w:r>
          </w:p>
          <w:p w:rsidR="009C493F" w:rsidRPr="00A50122" w:rsidRDefault="009C493F" w:rsidP="009C493F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Максимальный процент застройки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Росгвардии</w:t>
            </w:r>
            <w:proofErr w:type="spellEnd"/>
            <w:r w:rsidRPr="00A50122">
              <w:rPr>
                <w:rFonts w:ascii="Times New Roman" w:hAnsi="Times New Roman" w:cs="Times New Roman"/>
                <w:sz w:val="20"/>
                <w:szCs w:val="20"/>
              </w:rPr>
              <w:t xml:space="preserve"> и спасательных служб, в которых существует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военизированная</w:t>
            </w: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 xml:space="preserve"> служба;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объектов гражданской обороны, за исключением объектов гражданской обороны, являющихся частями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производственных</w:t>
            </w: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01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зданий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78" w:hanging="283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 м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10000 м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9C493F" w:rsidRPr="00A50122" w:rsidRDefault="009C493F" w:rsidP="009C493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Максимальная высота здания </w:t>
            </w: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(этажность):</w:t>
            </w:r>
          </w:p>
          <w:p w:rsidR="009C493F" w:rsidRPr="00A50122" w:rsidRDefault="009C493F" w:rsidP="009C493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78" w:right="59" w:hanging="425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установлению.</w:t>
            </w:r>
          </w:p>
          <w:p w:rsidR="009C493F" w:rsidRPr="00A50122" w:rsidRDefault="009C493F" w:rsidP="009C493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bCs/>
                <w:sz w:val="20"/>
              </w:rPr>
              <w:t xml:space="preserve">не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подлежит</w:t>
            </w:r>
            <w:r w:rsidRPr="00A50122">
              <w:rPr>
                <w:rFonts w:ascii="Times New Roman" w:hAnsi="Times New Roman" w:cs="Times New Roman"/>
                <w:bCs/>
                <w:sz w:val="20"/>
              </w:rPr>
              <w:t xml:space="preserve"> установлению.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Амбулаторное ветеринарное обслуживания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3.10.1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78" w:hanging="283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 м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4000 м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9C493F" w:rsidRPr="00A50122" w:rsidRDefault="009C493F" w:rsidP="009C493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2.</w:t>
            </w:r>
          </w:p>
          <w:p w:rsidR="009C493F" w:rsidRPr="00A50122" w:rsidRDefault="009C493F" w:rsidP="009C493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 м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2500 м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9C493F" w:rsidRPr="00A50122" w:rsidRDefault="009C493F" w:rsidP="009C493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максимальное количество этажей – 3.</w:t>
            </w:r>
          </w:p>
          <w:p w:rsidR="009C493F" w:rsidRPr="00A50122" w:rsidRDefault="009C493F" w:rsidP="009C493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80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Размещение гостиниц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55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на 1 место;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2500 </w:t>
            </w:r>
            <w:proofErr w:type="spell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9C493F" w:rsidRPr="00A50122" w:rsidRDefault="009C493F" w:rsidP="009C493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9C493F" w:rsidRPr="00A50122" w:rsidRDefault="009C493F" w:rsidP="009C493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 -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не подлежит установлению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A50122">
            <w:pPr>
              <w:ind w:left="53" w:right="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755" w:type="pct"/>
            <w:gridSpan w:val="4"/>
            <w:shd w:val="clear" w:color="auto" w:fill="FFFFFF"/>
          </w:tcPr>
          <w:p w:rsidR="009C493F" w:rsidRPr="00A50122" w:rsidRDefault="009C493F" w:rsidP="00A50122">
            <w:pPr>
              <w:ind w:left="53" w:right="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b/>
                <w:sz w:val="20"/>
                <w:szCs w:val="20"/>
              </w:rPr>
              <w:t>Вспомогательные виды разрешенного использования</w:t>
            </w:r>
          </w:p>
        </w:tc>
      </w:tr>
      <w:tr w:rsidR="009C493F" w:rsidRPr="00A50122" w:rsidTr="00A50122">
        <w:trPr>
          <w:trHeight w:val="20"/>
        </w:trPr>
        <w:tc>
          <w:tcPr>
            <w:tcW w:w="245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33"/>
              </w:numPr>
              <w:tabs>
                <w:tab w:val="left" w:pos="507"/>
              </w:tabs>
              <w:autoSpaceDE w:val="0"/>
              <w:autoSpaceDN w:val="0"/>
              <w:adjustRightInd w:val="0"/>
              <w:spacing w:after="0" w:line="240" w:lineRule="auto"/>
              <w:ind w:left="227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9C493F" w:rsidRPr="00A50122" w:rsidRDefault="009C493F" w:rsidP="00A50122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238" w:type="pct"/>
            <w:shd w:val="clear" w:color="auto" w:fill="FFFFFF"/>
          </w:tcPr>
          <w:p w:rsidR="009C493F" w:rsidRPr="00A50122" w:rsidRDefault="009C493F" w:rsidP="00A5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2.7.1</w:t>
            </w:r>
          </w:p>
        </w:tc>
        <w:tc>
          <w:tcPr>
            <w:tcW w:w="127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A50122">
              <w:rPr>
                <w:rFonts w:ascii="Times New Roman" w:hAnsi="Times New Roman" w:cs="Times New Roman"/>
                <w:sz w:val="20"/>
                <w:szCs w:val="20"/>
              </w:rPr>
              <w:t>машино</w:t>
            </w:r>
            <w:proofErr w:type="spellEnd"/>
            <w:r w:rsidRPr="00A50122">
              <w:rPr>
                <w:rFonts w:ascii="Times New Roman" w:hAnsi="Times New Roman" w:cs="Times New Roman"/>
                <w:sz w:val="20"/>
                <w:szCs w:val="20"/>
              </w:rPr>
              <w:t xml:space="preserve">-места, за исключением гаражей, размещение которых предусмотрено содержанием видов разрешенного использования с кодами 2.7.2, 4.9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Классификатора</w:t>
            </w:r>
          </w:p>
        </w:tc>
        <w:tc>
          <w:tcPr>
            <w:tcW w:w="1661" w:type="pct"/>
            <w:shd w:val="clear" w:color="auto" w:fill="FFFFFF"/>
          </w:tcPr>
          <w:p w:rsidR="009C493F" w:rsidRPr="00A50122" w:rsidRDefault="009C493F" w:rsidP="009C493F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37" w:right="59" w:hanging="19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 м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800 м</w:t>
            </w:r>
            <w:proofErr w:type="gramStart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9C493F" w:rsidRPr="00A50122" w:rsidRDefault="009C493F" w:rsidP="009C493F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0,5 м.</w:t>
            </w:r>
          </w:p>
          <w:p w:rsidR="009C493F" w:rsidRPr="00A50122" w:rsidRDefault="009C493F" w:rsidP="009C493F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Предельное количество этажей или предельная высота зданий, строений, </w:t>
            </w: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сооружений:</w:t>
            </w:r>
          </w:p>
          <w:p w:rsidR="009C493F" w:rsidRPr="00A50122" w:rsidRDefault="009C493F" w:rsidP="009C493F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1.</w:t>
            </w:r>
          </w:p>
          <w:p w:rsidR="009C493F" w:rsidRPr="00A50122" w:rsidRDefault="009C493F" w:rsidP="009C493F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50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</w:t>
            </w:r>
            <w:r w:rsidRPr="00A50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- не подлежит установлению</w:t>
            </w:r>
          </w:p>
        </w:tc>
      </w:tr>
    </w:tbl>
    <w:p w:rsidR="009C493F" w:rsidRPr="00A50122" w:rsidRDefault="009C493F" w:rsidP="00B404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C493F" w:rsidRPr="00A50122" w:rsidSect="00B13B9F">
      <w:headerReference w:type="first" r:id="rId13"/>
      <w:footerReference w:type="first" r:id="rId14"/>
      <w:pgSz w:w="11906" w:h="16838"/>
      <w:pgMar w:top="1134" w:right="567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122" w:rsidRDefault="00A50122">
      <w:pPr>
        <w:spacing w:after="0" w:line="240" w:lineRule="auto"/>
      </w:pPr>
      <w:r>
        <w:separator/>
      </w:r>
    </w:p>
  </w:endnote>
  <w:endnote w:type="continuationSeparator" w:id="0">
    <w:p w:rsidR="00A50122" w:rsidRDefault="00A50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122" w:rsidRDefault="00A50122">
    <w:pPr>
      <w:pStyle w:val="a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122" w:rsidRDefault="00A5012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122" w:rsidRDefault="00A50122">
      <w:pPr>
        <w:spacing w:after="0" w:line="240" w:lineRule="auto"/>
      </w:pPr>
      <w:r>
        <w:separator/>
      </w:r>
    </w:p>
  </w:footnote>
  <w:footnote w:type="continuationSeparator" w:id="0">
    <w:p w:rsidR="00A50122" w:rsidRDefault="00A50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2771873"/>
      <w:docPartObj>
        <w:docPartGallery w:val="Page Numbers (Top of Page)"/>
        <w:docPartUnique/>
      </w:docPartObj>
    </w:sdtPr>
    <w:sdtContent>
      <w:p w:rsidR="00A50122" w:rsidRPr="00D0306A" w:rsidRDefault="00A50122" w:rsidP="00A5012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5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0736242"/>
      <w:docPartObj>
        <w:docPartGallery w:val="Page Numbers (Top of Page)"/>
        <w:docPartUnique/>
      </w:docPartObj>
    </w:sdtPr>
    <w:sdtContent>
      <w:p w:rsidR="00A50122" w:rsidRPr="00D0306A" w:rsidRDefault="00A50122" w:rsidP="007D43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52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296629A"/>
    <w:multiLevelType w:val="hybridMultilevel"/>
    <w:tmpl w:val="833401B2"/>
    <w:lvl w:ilvl="0" w:tplc="7706A62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">
    <w:nsid w:val="054421C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">
    <w:nsid w:val="0583295E"/>
    <w:multiLevelType w:val="hybridMultilevel"/>
    <w:tmpl w:val="67D0222C"/>
    <w:lvl w:ilvl="0" w:tplc="3AAC328E">
      <w:start w:val="1"/>
      <w:numFmt w:val="bullet"/>
      <w:lvlText w:val=""/>
      <w:lvlJc w:val="left"/>
      <w:pPr>
        <w:ind w:left="11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4">
    <w:nsid w:val="0E94751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5">
    <w:nsid w:val="0F12696D"/>
    <w:multiLevelType w:val="hybridMultilevel"/>
    <w:tmpl w:val="9106F58C"/>
    <w:lvl w:ilvl="0" w:tplc="C8AC235A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6">
    <w:nsid w:val="14D03105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7">
    <w:nsid w:val="17FC5B2B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8">
    <w:nsid w:val="189E0E1F"/>
    <w:multiLevelType w:val="hybridMultilevel"/>
    <w:tmpl w:val="9F4A823A"/>
    <w:lvl w:ilvl="0" w:tplc="7E8AD31E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9">
    <w:nsid w:val="1B641454"/>
    <w:multiLevelType w:val="hybridMultilevel"/>
    <w:tmpl w:val="BECC2C40"/>
    <w:lvl w:ilvl="0" w:tplc="41CA37A2">
      <w:start w:val="1"/>
      <w:numFmt w:val="decimal"/>
      <w:lvlText w:val="2.%1"/>
      <w:lvlJc w:val="left"/>
      <w:pPr>
        <w:ind w:left="34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0">
    <w:nsid w:val="20A508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AFA750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2">
    <w:nsid w:val="2E4F417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3">
    <w:nsid w:val="390C36C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4">
    <w:nsid w:val="39B46C43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5">
    <w:nsid w:val="3CA00AC2"/>
    <w:multiLevelType w:val="hybridMultilevel"/>
    <w:tmpl w:val="70E4458E"/>
    <w:lvl w:ilvl="0" w:tplc="63960468">
      <w:start w:val="1"/>
      <w:numFmt w:val="decimal"/>
      <w:lvlText w:val="3.%1."/>
      <w:lvlJc w:val="left"/>
      <w:pPr>
        <w:ind w:left="1162" w:hanging="8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6">
    <w:nsid w:val="3F2247FD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">
    <w:nsid w:val="448553B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8">
    <w:nsid w:val="4550444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9">
    <w:nsid w:val="476F251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0">
    <w:nsid w:val="49E174A2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1">
    <w:nsid w:val="4B292447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">
    <w:nsid w:val="4D300263"/>
    <w:multiLevelType w:val="hybridMultilevel"/>
    <w:tmpl w:val="876A68C0"/>
    <w:lvl w:ilvl="0" w:tplc="174AC8C2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3">
    <w:nsid w:val="5E4841CD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4">
    <w:nsid w:val="688165D3"/>
    <w:multiLevelType w:val="hybridMultilevel"/>
    <w:tmpl w:val="8388850C"/>
    <w:lvl w:ilvl="0" w:tplc="F1C240E2">
      <w:start w:val="1"/>
      <w:numFmt w:val="decimal"/>
      <w:lvlText w:val="1.%1"/>
      <w:lvlJc w:val="lef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5">
    <w:nsid w:val="6D5F1DD8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6">
    <w:nsid w:val="6F027EE4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7">
    <w:nsid w:val="71244F20"/>
    <w:multiLevelType w:val="hybridMultilevel"/>
    <w:tmpl w:val="FDF44654"/>
    <w:lvl w:ilvl="0" w:tplc="FFFFFFFF">
      <w:start w:val="1"/>
      <w:numFmt w:val="decimal"/>
      <w:lvlText w:val="%1."/>
      <w:lvlJc w:val="left"/>
      <w:pPr>
        <w:ind w:left="1162" w:hanging="360"/>
      </w:p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8">
    <w:nsid w:val="72C53252"/>
    <w:multiLevelType w:val="hybridMultilevel"/>
    <w:tmpl w:val="3D50B13E"/>
    <w:lvl w:ilvl="0" w:tplc="7944C034">
      <w:start w:val="1"/>
      <w:numFmt w:val="bullet"/>
      <w:lvlText w:val=""/>
      <w:lvlJc w:val="left"/>
      <w:pPr>
        <w:ind w:left="1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29">
    <w:nsid w:val="744A1BE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0">
    <w:nsid w:val="780E0F2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1">
    <w:nsid w:val="78CB4F85"/>
    <w:multiLevelType w:val="hybridMultilevel"/>
    <w:tmpl w:val="8F007750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32">
    <w:nsid w:val="79045B75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3">
    <w:nsid w:val="7C326239"/>
    <w:multiLevelType w:val="hybridMultilevel"/>
    <w:tmpl w:val="219A57D2"/>
    <w:lvl w:ilvl="0" w:tplc="A9720FA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4">
    <w:nsid w:val="7D322C74"/>
    <w:multiLevelType w:val="hybridMultilevel"/>
    <w:tmpl w:val="93D4B514"/>
    <w:lvl w:ilvl="0" w:tplc="74288D7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5">
    <w:nsid w:val="7F69445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num w:numId="1">
    <w:abstractNumId w:val="5"/>
  </w:num>
  <w:num w:numId="2">
    <w:abstractNumId w:val="31"/>
  </w:num>
  <w:num w:numId="3">
    <w:abstractNumId w:val="0"/>
  </w:num>
  <w:num w:numId="4">
    <w:abstractNumId w:val="16"/>
  </w:num>
  <w:num w:numId="5">
    <w:abstractNumId w:val="6"/>
  </w:num>
  <w:num w:numId="6">
    <w:abstractNumId w:val="21"/>
  </w:num>
  <w:num w:numId="7">
    <w:abstractNumId w:val="8"/>
  </w:num>
  <w:num w:numId="8">
    <w:abstractNumId w:val="12"/>
  </w:num>
  <w:num w:numId="9">
    <w:abstractNumId w:val="4"/>
  </w:num>
  <w:num w:numId="10">
    <w:abstractNumId w:val="20"/>
  </w:num>
  <w:num w:numId="11">
    <w:abstractNumId w:val="25"/>
  </w:num>
  <w:num w:numId="12">
    <w:abstractNumId w:val="17"/>
  </w:num>
  <w:num w:numId="13">
    <w:abstractNumId w:val="30"/>
  </w:num>
  <w:num w:numId="14">
    <w:abstractNumId w:val="14"/>
  </w:num>
  <w:num w:numId="15">
    <w:abstractNumId w:val="33"/>
  </w:num>
  <w:num w:numId="16">
    <w:abstractNumId w:val="7"/>
  </w:num>
  <w:num w:numId="17">
    <w:abstractNumId w:val="29"/>
  </w:num>
  <w:num w:numId="18">
    <w:abstractNumId w:val="13"/>
  </w:num>
  <w:num w:numId="19">
    <w:abstractNumId w:val="22"/>
  </w:num>
  <w:num w:numId="20">
    <w:abstractNumId w:val="34"/>
  </w:num>
  <w:num w:numId="21">
    <w:abstractNumId w:val="24"/>
  </w:num>
  <w:num w:numId="22">
    <w:abstractNumId w:val="9"/>
  </w:num>
  <w:num w:numId="23">
    <w:abstractNumId w:val="18"/>
  </w:num>
  <w:num w:numId="24">
    <w:abstractNumId w:val="1"/>
  </w:num>
  <w:num w:numId="25">
    <w:abstractNumId w:val="2"/>
  </w:num>
  <w:num w:numId="26">
    <w:abstractNumId w:val="3"/>
  </w:num>
  <w:num w:numId="27">
    <w:abstractNumId w:val="19"/>
  </w:num>
  <w:num w:numId="28">
    <w:abstractNumId w:val="28"/>
  </w:num>
  <w:num w:numId="29">
    <w:abstractNumId w:val="11"/>
  </w:num>
  <w:num w:numId="30">
    <w:abstractNumId w:val="23"/>
  </w:num>
  <w:num w:numId="31">
    <w:abstractNumId w:val="10"/>
  </w:num>
  <w:num w:numId="32">
    <w:abstractNumId w:val="35"/>
  </w:num>
  <w:num w:numId="33">
    <w:abstractNumId w:val="15"/>
  </w:num>
  <w:num w:numId="34">
    <w:abstractNumId w:val="32"/>
  </w:num>
  <w:num w:numId="35">
    <w:abstractNumId w:val="27"/>
  </w:num>
  <w:num w:numId="36">
    <w:abstractNumId w:val="2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05"/>
    <w:rsid w:val="00070648"/>
    <w:rsid w:val="00186327"/>
    <w:rsid w:val="001E1C44"/>
    <w:rsid w:val="00497BA7"/>
    <w:rsid w:val="006F740A"/>
    <w:rsid w:val="00747DBF"/>
    <w:rsid w:val="007D43FB"/>
    <w:rsid w:val="00855A9B"/>
    <w:rsid w:val="008654A3"/>
    <w:rsid w:val="008F3364"/>
    <w:rsid w:val="00941D05"/>
    <w:rsid w:val="009B068B"/>
    <w:rsid w:val="009C493F"/>
    <w:rsid w:val="00A50122"/>
    <w:rsid w:val="00A65E8D"/>
    <w:rsid w:val="00A85E46"/>
    <w:rsid w:val="00B13B9F"/>
    <w:rsid w:val="00B404B7"/>
    <w:rsid w:val="00BA0909"/>
    <w:rsid w:val="00C41D15"/>
    <w:rsid w:val="00CC23DA"/>
    <w:rsid w:val="00D73520"/>
    <w:rsid w:val="00D961BD"/>
    <w:rsid w:val="00DA3CFD"/>
    <w:rsid w:val="00DC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23DA"/>
    <w:pPr>
      <w:numPr>
        <w:numId w:val="3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qFormat/>
    <w:rsid w:val="00CC23DA"/>
    <w:pPr>
      <w:keepNext/>
      <w:widowControl w:val="0"/>
      <w:numPr>
        <w:ilvl w:val="1"/>
        <w:numId w:val="3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C23DA"/>
    <w:pPr>
      <w:keepNext/>
      <w:widowControl w:val="0"/>
      <w:numPr>
        <w:ilvl w:val="2"/>
        <w:numId w:val="3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4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04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Normal">
    <w:name w:val="ConsNormal"/>
    <w:link w:val="ConsNormal0"/>
    <w:rsid w:val="007D43F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aliases w:val="Заголовок мой1,СписокСТПр,Абзац списка основной,List Paragraph2,ПАРАГРАФ,Нумерация,список 1,Абзац списка3,List Paragraph,Варианты ответов,СПИСКИ,маркированный,Заголовок_3,Абзац вправо-1,Абзац вправо-11,List Paragraph11,Абзац вправо-12,А"/>
    <w:basedOn w:val="a"/>
    <w:link w:val="ab"/>
    <w:uiPriority w:val="34"/>
    <w:qFormat/>
    <w:rsid w:val="007D43FB"/>
    <w:pPr>
      <w:suppressAutoHyphens/>
      <w:snapToGrid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ConsNormal0">
    <w:name w:val="ConsNormal Знак"/>
    <w:link w:val="ConsNormal"/>
    <w:locked/>
    <w:rsid w:val="007D43F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Абзац списка Знак"/>
    <w:aliases w:val="Заголовок мой1 Знак,СписокСТПр Знак,Абзац списка основной Знак,List Paragraph2 Знак,ПАРАГРАФ Знак,Нумерация Знак,список 1 Знак,Абзац списка3 Знак,List Paragraph Знак,Варианты ответов Знак,СПИСКИ Знак,маркированный Знак,Заголовок_3 Знак"/>
    <w:link w:val="aa"/>
    <w:uiPriority w:val="34"/>
    <w:qFormat/>
    <w:locked/>
    <w:rsid w:val="007D43FB"/>
    <w:rPr>
      <w:rFonts w:ascii="Times New Roman" w:eastAsia="Times New Roman" w:hAnsi="Times New Roman" w:cs="Times New Roman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23DA"/>
    <w:pPr>
      <w:numPr>
        <w:numId w:val="3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qFormat/>
    <w:rsid w:val="00CC23DA"/>
    <w:pPr>
      <w:keepNext/>
      <w:widowControl w:val="0"/>
      <w:numPr>
        <w:ilvl w:val="1"/>
        <w:numId w:val="3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C23DA"/>
    <w:pPr>
      <w:keepNext/>
      <w:widowControl w:val="0"/>
      <w:numPr>
        <w:ilvl w:val="2"/>
        <w:numId w:val="3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4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04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Normal">
    <w:name w:val="ConsNormal"/>
    <w:link w:val="ConsNormal0"/>
    <w:rsid w:val="007D43F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aliases w:val="Заголовок мой1,СписокСТПр,Абзац списка основной,List Paragraph2,ПАРАГРАФ,Нумерация,список 1,Абзац списка3,List Paragraph,Варианты ответов,СПИСКИ,маркированный,Заголовок_3,Абзац вправо-1,Абзац вправо-11,List Paragraph11,Абзац вправо-12,А"/>
    <w:basedOn w:val="a"/>
    <w:link w:val="ab"/>
    <w:uiPriority w:val="34"/>
    <w:qFormat/>
    <w:rsid w:val="007D43FB"/>
    <w:pPr>
      <w:suppressAutoHyphens/>
      <w:snapToGrid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ConsNormal0">
    <w:name w:val="ConsNormal Знак"/>
    <w:link w:val="ConsNormal"/>
    <w:locked/>
    <w:rsid w:val="007D43F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Абзац списка Знак"/>
    <w:aliases w:val="Заголовок мой1 Знак,СписокСТПр Знак,Абзац списка основной Знак,List Paragraph2 Знак,ПАРАГРАФ Знак,Нумерация Знак,список 1 Знак,Абзац списка3 Знак,List Paragraph Знак,Варианты ответов Знак,СПИСКИ Знак,маркированный Знак,Заголовок_3 Знак"/>
    <w:link w:val="aa"/>
    <w:uiPriority w:val="34"/>
    <w:qFormat/>
    <w:locked/>
    <w:rsid w:val="007D43FB"/>
    <w:rPr>
      <w:rFonts w:ascii="Times New Roman" w:eastAsia="Times New Roman" w:hAnsi="Times New Roman" w:cs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19</Pages>
  <Words>4845</Words>
  <Characters>27622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16</cp:revision>
  <cp:lastPrinted>2025-06-25T14:23:00Z</cp:lastPrinted>
  <dcterms:created xsi:type="dcterms:W3CDTF">2020-08-31T11:38:00Z</dcterms:created>
  <dcterms:modified xsi:type="dcterms:W3CDTF">2025-06-25T14:24:00Z</dcterms:modified>
</cp:coreProperties>
</file>