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B7" w:rsidRPr="00B404B7" w:rsidRDefault="00DA3CFD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Анашкино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Андрияновская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Белая Гора, Большое Залесье, Бор, Боярская,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Бушково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Вавчуга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Даниловская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Демушино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Жучково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Залыва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Ивлево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Ильино,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Кичижно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Кочерино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Красное Село,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Кузополье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Лубянки,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Лыжино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Макарово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Малое Залесье,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Марково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Мироново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Митревщина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Некрасово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Обухово, Осина Гора,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Пекишево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Перхуровская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Побоище, Погост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Подгорье,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Подсосны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Почапы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gram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Разлог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Смольниковская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Спасская, Строительская, Сурово, Татаурово,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Телепниха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Тихновская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Третьяково,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Трехновская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Тряпицыно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Харитоново,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Ходчино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DC7AAE" w:rsidRDefault="00B404B7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сел </w:t>
      </w:r>
      <w:proofErr w:type="spellStart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Ломоносово</w:t>
      </w:r>
      <w:proofErr w:type="spellEnd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Холмогоры</w:t>
      </w:r>
    </w:p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:rsidR="00B404B7" w:rsidRPr="00B404B7" w:rsidRDefault="00B404B7" w:rsidP="00855A9B">
      <w:pPr>
        <w:keepNext/>
        <w:widowControl w:val="0"/>
        <w:numPr>
          <w:ilvl w:val="2"/>
          <w:numId w:val="3"/>
        </w:numPr>
        <w:tabs>
          <w:tab w:val="left" w:pos="0"/>
        </w:tabs>
        <w:suppressAutoHyphens/>
        <w:snapToGrid w:val="0"/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4B7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B404B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855A9B" w:rsidRDefault="00855A9B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93F" w:rsidRPr="00E30D28" w:rsidRDefault="009C493F" w:rsidP="009C493F">
      <w:pPr>
        <w:pStyle w:val="4"/>
        <w:keepLines w:val="0"/>
        <w:numPr>
          <w:ilvl w:val="2"/>
          <w:numId w:val="0"/>
        </w:numPr>
        <w:spacing w:before="240" w:after="240"/>
        <w:ind w:firstLine="709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E30D28">
        <w:rPr>
          <w:rFonts w:ascii="Times New Roman" w:hAnsi="Times New Roman"/>
          <w:i w:val="0"/>
          <w:iCs w:val="0"/>
          <w:color w:val="auto"/>
          <w:sz w:val="24"/>
          <w:szCs w:val="24"/>
        </w:rPr>
        <w:t>Статья 27.1. Ж-1. Зона застройки индивидуальными жилыми домами</w:t>
      </w:r>
    </w:p>
    <w:p w:rsidR="009C493F" w:rsidRPr="00E30D28" w:rsidRDefault="009C493F" w:rsidP="009C493F">
      <w:pPr>
        <w:tabs>
          <w:tab w:val="left" w:pos="1134"/>
        </w:tabs>
        <w:ind w:firstLine="709"/>
        <w:rPr>
          <w:sz w:val="24"/>
          <w:szCs w:val="24"/>
        </w:rPr>
      </w:pPr>
      <w:r w:rsidRPr="00E30D28">
        <w:rPr>
          <w:sz w:val="24"/>
          <w:szCs w:val="24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 представлены в таблице 2.1.</w:t>
      </w:r>
    </w:p>
    <w:p w:rsidR="009C493F" w:rsidRPr="00E30D28" w:rsidRDefault="009C493F" w:rsidP="009C493F">
      <w:pPr>
        <w:pStyle w:val="ConsNormal"/>
        <w:spacing w:line="300" w:lineRule="auto"/>
        <w:ind w:right="0" w:firstLine="708"/>
        <w:jc w:val="right"/>
        <w:rPr>
          <w:rFonts w:ascii="Times New Roman" w:hAnsi="Times New Roman" w:cs="Times New Roman"/>
          <w:sz w:val="24"/>
          <w:szCs w:val="24"/>
        </w:rPr>
        <w:sectPr w:rsidR="009C493F" w:rsidRPr="00E30D28" w:rsidSect="00D0306A">
          <w:headerReference w:type="first" r:id="rId11"/>
          <w:footerReference w:type="first" r:id="rId12"/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p w:rsidR="009C493F" w:rsidRPr="00E30D28" w:rsidRDefault="009C493F" w:rsidP="009C493F">
      <w:pPr>
        <w:spacing w:line="300" w:lineRule="auto"/>
        <w:jc w:val="right"/>
        <w:rPr>
          <w:sz w:val="24"/>
          <w:szCs w:val="24"/>
        </w:rPr>
      </w:pPr>
      <w:r w:rsidRPr="00E30D28">
        <w:rPr>
          <w:sz w:val="24"/>
          <w:szCs w:val="24"/>
        </w:rPr>
        <w:lastRenderedPageBreak/>
        <w:t>Таблица 2.1</w:t>
      </w:r>
    </w:p>
    <w:p w:rsidR="009C493F" w:rsidRPr="00E30D28" w:rsidRDefault="009C493F" w:rsidP="009C493F">
      <w:pPr>
        <w:tabs>
          <w:tab w:val="left" w:pos="709"/>
          <w:tab w:val="left" w:pos="851"/>
        </w:tabs>
        <w:spacing w:line="300" w:lineRule="auto"/>
        <w:jc w:val="center"/>
        <w:rPr>
          <w:sz w:val="24"/>
          <w:szCs w:val="24"/>
          <w:lang w:bidi="ru-RU"/>
        </w:rPr>
      </w:pPr>
      <w:r w:rsidRPr="00E30D28">
        <w:rPr>
          <w:sz w:val="24"/>
          <w:szCs w:val="24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3148"/>
        <w:gridCol w:w="473"/>
        <w:gridCol w:w="2524"/>
        <w:gridCol w:w="3299"/>
      </w:tblGrid>
      <w:tr w:rsidR="009C493F" w:rsidRPr="00E30D28" w:rsidTr="00B17C81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Код</w:t>
            </w:r>
          </w:p>
        </w:tc>
        <w:tc>
          <w:tcPr>
            <w:tcW w:w="1271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ind w:firstLine="2"/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9C493F" w:rsidRPr="00E30D28" w:rsidRDefault="009C493F" w:rsidP="009C493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137"/>
        <w:gridCol w:w="517"/>
        <w:gridCol w:w="2513"/>
        <w:gridCol w:w="3288"/>
      </w:tblGrid>
      <w:tr w:rsidR="009C493F" w:rsidRPr="00E30D28" w:rsidTr="00B17C81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9C493F" w:rsidRPr="00E30D28" w:rsidRDefault="009C493F" w:rsidP="00B17C81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B17C81">
            <w:pPr>
              <w:ind w:firstLine="2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5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3000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 м.;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-с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E30D28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максимальное количество этажей объекта индивидуального жилищного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строительства – 3;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E30D28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E30D28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2.3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гаражей для собственных нужд и иных вспомогательных сооружений;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3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-с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 xml:space="preserve">оседнего земельного участка до объекта индивидуального жилищного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строительства – 3 м.</w:t>
            </w:r>
          </w:p>
          <w:p w:rsidR="009C493F" w:rsidRPr="00E30D28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жилищного строительства – 14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E30D28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9C493F" w:rsidRPr="00E30D28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максимальное общее количество совмещенных домов блокированного жилого дома – 2 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2.2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3000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других построек (за исключением объекта индивидуального жилищного строительства) до границы смежного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1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-с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E30D28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E30D28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E30D28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E30D28" w:rsidRDefault="009C493F" w:rsidP="009C493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5.1.3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E30D28" w:rsidRDefault="009C493F" w:rsidP="009C493F">
            <w:pPr>
              <w:numPr>
                <w:ilvl w:val="0"/>
                <w:numId w:val="28"/>
              </w:numPr>
              <w:tabs>
                <w:tab w:val="left" w:pos="440"/>
              </w:tabs>
              <w:autoSpaceDE w:val="0"/>
              <w:autoSpaceDN w:val="0"/>
              <w:adjustRightInd w:val="0"/>
              <w:spacing w:after="0" w:line="240" w:lineRule="auto"/>
              <w:ind w:left="57" w:right="59" w:firstLine="53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Максимальный процент застройки земельного участка:</w:t>
            </w:r>
          </w:p>
          <w:p w:rsidR="009C493F" w:rsidRPr="00E30D28" w:rsidRDefault="009C493F" w:rsidP="00B17C81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 –   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5.1.2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30000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4.4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E30D28">
              <w:rPr>
                <w:rFonts w:eastAsia="Calibri"/>
                <w:bCs/>
                <w:sz w:val="20"/>
                <w:szCs w:val="20"/>
              </w:rPr>
              <w:t>5000</w:t>
            </w:r>
            <w:r w:rsidRPr="00E30D28">
              <w:rPr>
                <w:sz w:val="20"/>
                <w:szCs w:val="20"/>
              </w:rPr>
              <w:t xml:space="preserve"> </w:t>
            </w:r>
            <w:proofErr w:type="spellStart"/>
            <w:r w:rsidRPr="00E30D28">
              <w:rPr>
                <w:sz w:val="20"/>
                <w:szCs w:val="20"/>
              </w:rPr>
              <w:t>кв</w:t>
            </w:r>
            <w:proofErr w:type="gramStart"/>
            <w:r w:rsidRPr="00E30D2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</w:t>
            </w:r>
            <w:r w:rsidRPr="00E30D28">
              <w:rPr>
                <w:sz w:val="20"/>
                <w:szCs w:val="20"/>
              </w:rPr>
              <w:t xml:space="preserve"> размеры земельного участка – </w:t>
            </w:r>
            <w:r w:rsidRPr="00E30D28">
              <w:rPr>
                <w:sz w:val="20"/>
                <w:szCs w:val="20"/>
              </w:rPr>
              <w:br/>
              <w:t>5000 кв. м</w:t>
            </w:r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в границах 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Ведение огородничества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13.1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2000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установлению;</w:t>
            </w:r>
          </w:p>
          <w:p w:rsidR="009C493F" w:rsidRPr="00E30D28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установлению;</w:t>
            </w:r>
          </w:p>
          <w:p w:rsidR="009C493F" w:rsidRPr="00E30D28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Ведение садоводства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13.2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-с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E30D28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максимальное количество этажей объекта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индивидуального жилищного строительства – 3;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E30D28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E30D28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E30D28" w:rsidRDefault="009C493F" w:rsidP="00B17C81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3.1.1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6" w:right="59" w:hanging="343"/>
              <w:contextualSpacing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Земельные участки (территории) </w:t>
            </w:r>
            <w:r w:rsidRPr="00E30D28">
              <w:rPr>
                <w:sz w:val="20"/>
                <w:szCs w:val="20"/>
              </w:rPr>
              <w:lastRenderedPageBreak/>
              <w:t xml:space="preserve">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lastRenderedPageBreak/>
              <w:t>12.0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Земельные участки общего пользования.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не подлежат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2.1.1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мансардный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);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400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10000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 м.;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4;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– 20 м;</w:t>
            </w:r>
          </w:p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60;</w:t>
            </w:r>
          </w:p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минимальный процент озеленения – 25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proofErr w:type="spellStart"/>
            <w:r w:rsidRPr="00E30D28">
              <w:rPr>
                <w:sz w:val="20"/>
                <w:szCs w:val="20"/>
              </w:rPr>
              <w:t>Среднеэтажная</w:t>
            </w:r>
            <w:proofErr w:type="spellEnd"/>
            <w:r w:rsidRPr="00E30D28">
              <w:rPr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2.5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</w:t>
            </w:r>
            <w:r w:rsidRPr="00E30D28">
              <w:rPr>
                <w:rFonts w:eastAsia="Calibri"/>
                <w:bCs/>
                <w:sz w:val="20"/>
                <w:szCs w:val="20"/>
              </w:rPr>
              <w:t>азмещение многоквартирных домов этажностью не выше восьми этажей;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благоустройство и озеленение;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размещение подземных гаражей и автостоянок;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-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 xml:space="preserve">земельного участка – 10000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красных линий улиц -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 м.;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9C493F" w:rsidRPr="00E30D28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8;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– 34 м;</w:t>
            </w:r>
          </w:p>
          <w:p w:rsidR="009C493F" w:rsidRPr="00E30D28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9C493F" w:rsidRPr="00E30D28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bCs/>
                <w:sz w:val="20"/>
                <w:szCs w:val="20"/>
              </w:rPr>
              <w:t>40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3.2.2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некоммерческих фондов, </w:t>
            </w:r>
            <w:r w:rsidRPr="00E30D28">
              <w:rPr>
                <w:rFonts w:eastAsia="Calibri"/>
                <w:bCs/>
                <w:sz w:val="20"/>
                <w:szCs w:val="20"/>
              </w:rPr>
              <w:t>благотворительных</w:t>
            </w:r>
            <w:r w:rsidRPr="00E30D28">
              <w:rPr>
                <w:sz w:val="20"/>
                <w:szCs w:val="20"/>
              </w:rPr>
              <w:t xml:space="preserve"> организаций, клубов по интересам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3.2.3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зданий, предназначенных для </w:t>
            </w:r>
            <w:r w:rsidRPr="00E30D28">
              <w:rPr>
                <w:sz w:val="20"/>
                <w:szCs w:val="20"/>
              </w:rPr>
              <w:lastRenderedPageBreak/>
              <w:t xml:space="preserve">размещения пунктов оказания услуг почтовой, телеграфной, </w:t>
            </w:r>
            <w:r w:rsidRPr="00E30D28">
              <w:rPr>
                <w:rFonts w:eastAsia="Calibri"/>
                <w:bCs/>
                <w:sz w:val="20"/>
                <w:szCs w:val="20"/>
              </w:rPr>
              <w:t>междугородней</w:t>
            </w:r>
            <w:r w:rsidRPr="00E30D28">
              <w:rPr>
                <w:sz w:val="20"/>
                <w:szCs w:val="20"/>
              </w:rPr>
              <w:t xml:space="preserve"> и международной телефонной связи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pStyle w:val="aa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jc w:val="left"/>
              <w:rPr>
                <w:b/>
                <w:bCs/>
                <w:sz w:val="20"/>
                <w:lang w:eastAsia="en-US"/>
              </w:rPr>
            </w:pPr>
            <w:r w:rsidRPr="00E30D28">
              <w:rPr>
                <w:bCs/>
                <w:sz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3.4.1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E30D28" w:rsidRDefault="009C493F" w:rsidP="00B17C81">
            <w:pPr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500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E30D28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pStyle w:val="aa"/>
              <w:numPr>
                <w:ilvl w:val="0"/>
                <w:numId w:val="26"/>
              </w:numPr>
              <w:suppressAutoHyphens w:val="0"/>
              <w:snapToGrid/>
              <w:ind w:left="478" w:right="50" w:hanging="283"/>
              <w:jc w:val="left"/>
              <w:rPr>
                <w:bCs/>
                <w:sz w:val="20"/>
                <w:lang w:eastAsia="en-US"/>
              </w:rPr>
            </w:pPr>
            <w:r w:rsidRPr="00E30D28">
              <w:rPr>
                <w:bCs/>
                <w:sz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3.5.1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E30D28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E30D28">
              <w:rPr>
                <w:rFonts w:eastAsia="Calibri"/>
                <w:bCs/>
                <w:sz w:val="20"/>
                <w:szCs w:val="20"/>
              </w:rPr>
              <w:t>физической</w:t>
            </w:r>
            <w:r w:rsidRPr="00E30D28">
              <w:rPr>
                <w:sz w:val="20"/>
                <w:szCs w:val="20"/>
              </w:rPr>
              <w:t xml:space="preserve"> культурой и спортом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для объектов дошкольного образования минимальные размеры земельного участка для отдельно стоящего объекта:</w:t>
            </w:r>
          </w:p>
          <w:p w:rsidR="009C493F" w:rsidRPr="00E30D28" w:rsidRDefault="009C493F" w:rsidP="009C493F">
            <w:pPr>
              <w:numPr>
                <w:ilvl w:val="1"/>
                <w:numId w:val="31"/>
              </w:numPr>
              <w:spacing w:after="0" w:line="240" w:lineRule="auto"/>
              <w:ind w:left="994" w:right="50" w:hanging="283"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при вместимости до 100 мест – 40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 xml:space="preserve">, на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 чел.;</w:t>
            </w:r>
          </w:p>
          <w:p w:rsidR="009C493F" w:rsidRPr="00E30D28" w:rsidRDefault="009C493F" w:rsidP="009C493F">
            <w:pPr>
              <w:numPr>
                <w:ilvl w:val="1"/>
                <w:numId w:val="31"/>
              </w:numPr>
              <w:spacing w:after="0" w:line="240" w:lineRule="auto"/>
              <w:ind w:left="994" w:right="50" w:hanging="283"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при вместимости свыше 100 мест – 35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, на 1 чел.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для объектов общеобразовательного назначения минимальные размеры земельного участка при вместимости до 400 мест – 50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, на 1 чел.;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минимальный отступ от красной линии – 25 м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9C493F" w:rsidRPr="00E30D28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Объекты культурно-досуговой </w:t>
            </w:r>
            <w:r w:rsidRPr="00E30D28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lastRenderedPageBreak/>
              <w:t>3.6.1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E30D28">
              <w:rPr>
                <w:sz w:val="20"/>
                <w:szCs w:val="20"/>
              </w:rPr>
              <w:t xml:space="preserve">Размещение зданий, предназначенных для </w:t>
            </w:r>
            <w:r w:rsidRPr="00E30D28">
              <w:rPr>
                <w:sz w:val="20"/>
                <w:szCs w:val="20"/>
              </w:rPr>
              <w:lastRenderedPageBreak/>
              <w:t xml:space="preserve">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E30D28">
              <w:rPr>
                <w:rFonts w:eastAsia="Calibri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600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E30D28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3.7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5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9" w:firstLine="142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E30D28" w:rsidRDefault="009C493F" w:rsidP="00B17C81">
            <w:pPr>
              <w:tabs>
                <w:tab w:val="left" w:pos="435"/>
              </w:tabs>
              <w:ind w:left="435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20 кв. м;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9C493F" w:rsidRPr="00E30D28" w:rsidRDefault="009C493F" w:rsidP="00B17C81">
            <w:pPr>
              <w:tabs>
                <w:tab w:val="left" w:pos="435"/>
              </w:tabs>
              <w:ind w:left="435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2000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576" w:right="50" w:hanging="425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не подлежит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35"/>
              </w:num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9" w:right="50" w:firstLine="142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– 30 м;</w:t>
            </w:r>
          </w:p>
          <w:p w:rsidR="009C493F" w:rsidRPr="00E30D28" w:rsidRDefault="009C493F" w:rsidP="009C493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3.7.1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E30D28">
              <w:rPr>
                <w:rFonts w:eastAsia="Calibri"/>
                <w:bCs/>
                <w:sz w:val="20"/>
                <w:szCs w:val="20"/>
              </w:rPr>
              <w:t>церкви</w:t>
            </w:r>
            <w:r w:rsidRPr="00E30D28">
              <w:rPr>
                <w:sz w:val="20"/>
                <w:szCs w:val="20"/>
              </w:rPr>
              <w:t>, соборы, храмы, часовни, мечети, молельные дома, синагоги)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E30D28" w:rsidRDefault="009C493F" w:rsidP="00B17C81">
            <w:pPr>
              <w:ind w:left="47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200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2000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объекта – 30 м;</w:t>
            </w:r>
          </w:p>
          <w:p w:rsidR="009C493F" w:rsidRPr="00E30D28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2.7.2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78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10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установлению;</w:t>
            </w:r>
          </w:p>
          <w:p w:rsidR="009C493F" w:rsidRPr="00E30D28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 максимальное количество этажей объекта - 1;</w:t>
            </w:r>
          </w:p>
          <w:p w:rsidR="009C493F" w:rsidRPr="00E30D28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8.3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</w:t>
            </w:r>
            <w:r w:rsidRPr="00E30D28">
              <w:rPr>
                <w:sz w:val="20"/>
                <w:szCs w:val="20"/>
              </w:rPr>
              <w:lastRenderedPageBreak/>
              <w:t xml:space="preserve">внутренних дел, </w:t>
            </w:r>
            <w:proofErr w:type="spellStart"/>
            <w:r w:rsidRPr="00E30D28">
              <w:rPr>
                <w:sz w:val="20"/>
                <w:szCs w:val="20"/>
              </w:rPr>
              <w:t>Росгвардии</w:t>
            </w:r>
            <w:proofErr w:type="spellEnd"/>
            <w:r w:rsidRPr="00E30D28">
              <w:rPr>
                <w:sz w:val="20"/>
                <w:szCs w:val="20"/>
              </w:rPr>
              <w:t xml:space="preserve"> и спасательных служб, в которых существует </w:t>
            </w:r>
            <w:r w:rsidRPr="00E30D28">
              <w:rPr>
                <w:rFonts w:eastAsia="Calibri"/>
                <w:bCs/>
                <w:sz w:val="20"/>
                <w:szCs w:val="20"/>
              </w:rPr>
              <w:t>военизированная</w:t>
            </w:r>
            <w:r w:rsidRPr="00E30D28">
              <w:rPr>
                <w:sz w:val="20"/>
                <w:szCs w:val="20"/>
              </w:rPr>
              <w:t xml:space="preserve"> служба;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E30D28">
              <w:rPr>
                <w:rFonts w:eastAsia="Calibri"/>
                <w:bCs/>
                <w:sz w:val="20"/>
                <w:szCs w:val="20"/>
              </w:rPr>
              <w:t>производственных</w:t>
            </w:r>
            <w:r w:rsidRPr="00E30D28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10000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E30D28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E30D28" w:rsidRDefault="009C493F" w:rsidP="009C49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78" w:right="59" w:hanging="425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E30D28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bCs/>
                <w:sz w:val="20"/>
              </w:rPr>
              <w:t xml:space="preserve">не </w:t>
            </w:r>
            <w:r w:rsidRPr="00E30D28">
              <w:rPr>
                <w:rFonts w:eastAsia="Calibri"/>
                <w:bCs/>
                <w:sz w:val="20"/>
                <w:szCs w:val="20"/>
              </w:rPr>
              <w:t>подлежит</w:t>
            </w:r>
            <w:r w:rsidRPr="00E30D28">
              <w:rPr>
                <w:bCs/>
                <w:sz w:val="20"/>
              </w:rPr>
              <w:t xml:space="preserve"> установлению.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Амбулаторное ветеринарное обслуживания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3.10.1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4000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2.</w:t>
            </w:r>
          </w:p>
          <w:p w:rsidR="009C493F" w:rsidRPr="00E30D28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4.6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2500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земельных участков в целях определения 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4.7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55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, на 1 место;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2500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кв.м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E30D28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E30D28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 -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E30D28" w:rsidRDefault="009C493F" w:rsidP="00B17C81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9C493F" w:rsidRPr="00E30D28" w:rsidTr="00B17C81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33"/>
              </w:numPr>
              <w:tabs>
                <w:tab w:val="left" w:pos="507"/>
              </w:tabs>
              <w:autoSpaceDE w:val="0"/>
              <w:autoSpaceDN w:val="0"/>
              <w:adjustRightInd w:val="0"/>
              <w:spacing w:after="0" w:line="240" w:lineRule="auto"/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E30D28" w:rsidRDefault="009C493F" w:rsidP="00B17C81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238" w:type="pct"/>
            <w:shd w:val="clear" w:color="auto" w:fill="FFFFFF"/>
          </w:tcPr>
          <w:p w:rsidR="009C493F" w:rsidRPr="00E30D28" w:rsidRDefault="009C493F" w:rsidP="00B17C81">
            <w:pPr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30D28">
              <w:rPr>
                <w:sz w:val="20"/>
                <w:szCs w:val="20"/>
              </w:rPr>
              <w:t>машино</w:t>
            </w:r>
            <w:proofErr w:type="spellEnd"/>
            <w:r w:rsidRPr="00E30D28">
              <w:rPr>
                <w:sz w:val="20"/>
                <w:szCs w:val="20"/>
              </w:rPr>
              <w:t xml:space="preserve">-места, за исключением гаражей, </w:t>
            </w:r>
            <w:r w:rsidRPr="00E30D28">
              <w:rPr>
                <w:sz w:val="20"/>
                <w:szCs w:val="20"/>
              </w:rPr>
              <w:lastRenderedPageBreak/>
              <w:t xml:space="preserve">размещение которых предусмотрено содержанием видов разрешенного использования с кодами 2.7.2, 4.9 </w:t>
            </w:r>
            <w:r w:rsidRPr="00E30D28">
              <w:rPr>
                <w:rFonts w:eastAsia="Calibri"/>
                <w:bCs/>
                <w:sz w:val="20"/>
                <w:szCs w:val="20"/>
              </w:rPr>
              <w:t>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E30D28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37" w:right="59" w:hanging="19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800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9C493F" w:rsidRPr="00E30D28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земельных участков в целях определения 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допустимого размещения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9C493F" w:rsidRPr="00E30D28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E30D28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1.</w:t>
            </w:r>
          </w:p>
          <w:p w:rsidR="009C493F" w:rsidRPr="00E30D28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 - не подлежит установлению</w:t>
            </w:r>
          </w:p>
        </w:tc>
      </w:tr>
    </w:tbl>
    <w:p w:rsidR="009C493F" w:rsidRDefault="009C493F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_GoBack"/>
      <w:bookmarkEnd w:id="70"/>
    </w:p>
    <w:sectPr w:rsidR="009C493F" w:rsidSect="00B13B9F">
      <w:headerReference w:type="first" r:id="rId13"/>
      <w:footerReference w:type="first" r:id="rId14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FB" w:rsidRDefault="007D43FB">
      <w:pPr>
        <w:spacing w:after="0" w:line="240" w:lineRule="auto"/>
      </w:pPr>
      <w:r>
        <w:separator/>
      </w:r>
    </w:p>
  </w:endnote>
  <w:endnote w:type="continuationSeparator" w:id="0">
    <w:p w:rsidR="007D43FB" w:rsidRDefault="007D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3F" w:rsidRDefault="009C493F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FB" w:rsidRDefault="007D43F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FB" w:rsidRDefault="007D43FB">
      <w:pPr>
        <w:spacing w:after="0" w:line="240" w:lineRule="auto"/>
      </w:pPr>
      <w:r>
        <w:separator/>
      </w:r>
    </w:p>
  </w:footnote>
  <w:footnote w:type="continuationSeparator" w:id="0">
    <w:p w:rsidR="007D43FB" w:rsidRDefault="007D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447829"/>
      <w:docPartObj>
        <w:docPartGallery w:val="Page Numbers (Top of Page)"/>
        <w:docPartUnique/>
      </w:docPartObj>
    </w:sdtPr>
    <w:sdtContent>
      <w:p w:rsidR="009C493F" w:rsidRPr="00D0306A" w:rsidRDefault="009C493F" w:rsidP="003C4B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736242"/>
      <w:docPartObj>
        <w:docPartGallery w:val="Page Numbers (Top of Page)"/>
        <w:docPartUnique/>
      </w:docPartObj>
    </w:sdtPr>
    <w:sdtEndPr/>
    <w:sdtContent>
      <w:p w:rsidR="007D43FB" w:rsidRPr="00D0306A" w:rsidRDefault="007D43FB" w:rsidP="007D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9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9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31"/>
  </w:num>
  <w:num w:numId="3">
    <w:abstractNumId w:val="0"/>
  </w:num>
  <w:num w:numId="4">
    <w:abstractNumId w:val="16"/>
  </w:num>
  <w:num w:numId="5">
    <w:abstractNumId w:val="6"/>
  </w:num>
  <w:num w:numId="6">
    <w:abstractNumId w:val="21"/>
  </w:num>
  <w:num w:numId="7">
    <w:abstractNumId w:val="8"/>
  </w:num>
  <w:num w:numId="8">
    <w:abstractNumId w:val="12"/>
  </w:num>
  <w:num w:numId="9">
    <w:abstractNumId w:val="4"/>
  </w:num>
  <w:num w:numId="10">
    <w:abstractNumId w:val="20"/>
  </w:num>
  <w:num w:numId="11">
    <w:abstractNumId w:val="25"/>
  </w:num>
  <w:num w:numId="12">
    <w:abstractNumId w:val="17"/>
  </w:num>
  <w:num w:numId="13">
    <w:abstractNumId w:val="30"/>
  </w:num>
  <w:num w:numId="14">
    <w:abstractNumId w:val="14"/>
  </w:num>
  <w:num w:numId="15">
    <w:abstractNumId w:val="33"/>
  </w:num>
  <w:num w:numId="16">
    <w:abstractNumId w:val="7"/>
  </w:num>
  <w:num w:numId="17">
    <w:abstractNumId w:val="29"/>
  </w:num>
  <w:num w:numId="18">
    <w:abstractNumId w:val="13"/>
  </w:num>
  <w:num w:numId="19">
    <w:abstractNumId w:val="22"/>
  </w:num>
  <w:num w:numId="20">
    <w:abstractNumId w:val="34"/>
  </w:num>
  <w:num w:numId="21">
    <w:abstractNumId w:val="24"/>
  </w:num>
  <w:num w:numId="22">
    <w:abstractNumId w:val="9"/>
  </w:num>
  <w:num w:numId="23">
    <w:abstractNumId w:val="18"/>
  </w:num>
  <w:num w:numId="24">
    <w:abstractNumId w:val="1"/>
  </w:num>
  <w:num w:numId="25">
    <w:abstractNumId w:val="2"/>
  </w:num>
  <w:num w:numId="26">
    <w:abstractNumId w:val="3"/>
  </w:num>
  <w:num w:numId="27">
    <w:abstractNumId w:val="19"/>
  </w:num>
  <w:num w:numId="28">
    <w:abstractNumId w:val="28"/>
  </w:num>
  <w:num w:numId="29">
    <w:abstractNumId w:val="11"/>
  </w:num>
  <w:num w:numId="30">
    <w:abstractNumId w:val="23"/>
  </w:num>
  <w:num w:numId="31">
    <w:abstractNumId w:val="10"/>
  </w:num>
  <w:num w:numId="32">
    <w:abstractNumId w:val="35"/>
  </w:num>
  <w:num w:numId="33">
    <w:abstractNumId w:val="15"/>
  </w:num>
  <w:num w:numId="34">
    <w:abstractNumId w:val="32"/>
  </w:num>
  <w:num w:numId="35">
    <w:abstractNumId w:val="27"/>
  </w:num>
  <w:num w:numId="36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97BA7"/>
    <w:rsid w:val="006F740A"/>
    <w:rsid w:val="00747DBF"/>
    <w:rsid w:val="007D43FB"/>
    <w:rsid w:val="00855A9B"/>
    <w:rsid w:val="008654A3"/>
    <w:rsid w:val="008F3364"/>
    <w:rsid w:val="00941D05"/>
    <w:rsid w:val="009B068B"/>
    <w:rsid w:val="009C493F"/>
    <w:rsid w:val="00A65E8D"/>
    <w:rsid w:val="00A85E46"/>
    <w:rsid w:val="00B13B9F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19</Pages>
  <Words>4845</Words>
  <Characters>27622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15</cp:revision>
  <cp:lastPrinted>2025-05-07T09:17:00Z</cp:lastPrinted>
  <dcterms:created xsi:type="dcterms:W3CDTF">2020-08-31T11:38:00Z</dcterms:created>
  <dcterms:modified xsi:type="dcterms:W3CDTF">2025-05-07T09:19:00Z</dcterms:modified>
</cp:coreProperties>
</file>