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B4" w:rsidRPr="007405B1" w:rsidRDefault="007405B1" w:rsidP="007405B1">
      <w:pPr>
        <w:spacing w:line="276" w:lineRule="auto"/>
        <w:jc w:val="center"/>
        <w:rPr>
          <w:b/>
          <w:szCs w:val="28"/>
        </w:rPr>
      </w:pPr>
      <w:proofErr w:type="gramStart"/>
      <w:r w:rsidRPr="007405B1">
        <w:rPr>
          <w:b/>
          <w:szCs w:val="28"/>
        </w:rPr>
        <w:t>Выписка из Правил землепользования и застройки</w:t>
      </w:r>
      <w:bookmarkStart w:id="0" w:name="_Toc370737109"/>
      <w:bookmarkStart w:id="1" w:name="_Toc370737198"/>
      <w:bookmarkStart w:id="2" w:name="_Toc373398483"/>
      <w:bookmarkStart w:id="3" w:name="_Toc373398541"/>
      <w:bookmarkStart w:id="4" w:name="_Toc421109906"/>
      <w:bookmarkStart w:id="5" w:name="_Toc421120025"/>
      <w:bookmarkStart w:id="6" w:name="_Toc421120248"/>
      <w:bookmarkStart w:id="7" w:name="_Toc421528606"/>
      <w:bookmarkStart w:id="8" w:name="_Toc421627142"/>
      <w:bookmarkStart w:id="9" w:name="_Toc421632230"/>
      <w:bookmarkStart w:id="10" w:name="_Toc421635122"/>
      <w:bookmarkStart w:id="11" w:name="_Toc421707030"/>
      <w:bookmarkStart w:id="12" w:name="_Toc422237332"/>
      <w:bookmarkStart w:id="13" w:name="_Toc430272132"/>
      <w:bookmarkStart w:id="14" w:name="_Toc430882635"/>
      <w:bookmarkStart w:id="15" w:name="_Toc430883027"/>
      <w:bookmarkStart w:id="16" w:name="_Toc431225662"/>
      <w:bookmarkStart w:id="17" w:name="_Toc352110694"/>
      <w:bookmarkStart w:id="18" w:name="_Toc352238281"/>
      <w:bookmarkStart w:id="19" w:name="_Toc353367516"/>
      <w:bookmarkStart w:id="20" w:name="_Toc353368797"/>
      <w:bookmarkStart w:id="21" w:name="_Toc353885977"/>
      <w:bookmarkStart w:id="22" w:name="_Toc353974591"/>
      <w:bookmarkStart w:id="23" w:name="_Toc354055402"/>
      <w:bookmarkStart w:id="24" w:name="_Toc355775585"/>
      <w:bookmarkStart w:id="25" w:name="_Toc356379781"/>
      <w:r w:rsidRPr="007405B1">
        <w:rPr>
          <w:b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7405B1">
        <w:rPr>
          <w:b/>
          <w:szCs w:val="28"/>
        </w:rPr>
        <w:t>части территории Холмогорского муниципального округа Архангельской области</w:t>
      </w:r>
      <w:r w:rsidR="005155B4" w:rsidRPr="007405B1">
        <w:rPr>
          <w:b/>
          <w:szCs w:val="28"/>
        </w:rPr>
        <w:t xml:space="preserve">, в границы которой входят территории </w:t>
      </w:r>
      <w:r w:rsidR="005155B4" w:rsidRPr="007405B1">
        <w:rPr>
          <w:b/>
          <w:szCs w:val="28"/>
          <w:lang w:eastAsia="ru-RU"/>
        </w:rPr>
        <w:t xml:space="preserve">деревень Аксеновы, </w:t>
      </w:r>
      <w:proofErr w:type="spellStart"/>
      <w:r w:rsidR="005155B4" w:rsidRPr="007405B1">
        <w:rPr>
          <w:b/>
          <w:szCs w:val="28"/>
          <w:lang w:eastAsia="ru-RU"/>
        </w:rPr>
        <w:t>Антониево-Сийский</w:t>
      </w:r>
      <w:proofErr w:type="spellEnd"/>
      <w:r w:rsidR="005155B4" w:rsidRPr="007405B1">
        <w:rPr>
          <w:b/>
          <w:szCs w:val="28"/>
          <w:lang w:eastAsia="ru-RU"/>
        </w:rPr>
        <w:t xml:space="preserve"> Монастырь, Белая Гора, </w:t>
      </w:r>
      <w:proofErr w:type="spellStart"/>
      <w:r w:rsidR="005155B4" w:rsidRPr="007405B1">
        <w:rPr>
          <w:b/>
          <w:szCs w:val="28"/>
          <w:lang w:eastAsia="ru-RU"/>
        </w:rPr>
        <w:t>Беличи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Бельково</w:t>
      </w:r>
      <w:proofErr w:type="spellEnd"/>
      <w:r w:rsidR="005155B4" w:rsidRPr="007405B1">
        <w:rPr>
          <w:b/>
          <w:szCs w:val="28"/>
          <w:lang w:eastAsia="ru-RU"/>
        </w:rPr>
        <w:t xml:space="preserve">, Болото, Большая Гора, Большое Село, Бор-Больница, </w:t>
      </w:r>
      <w:proofErr w:type="spellStart"/>
      <w:r w:rsidR="005155B4" w:rsidRPr="007405B1">
        <w:rPr>
          <w:b/>
          <w:szCs w:val="28"/>
          <w:lang w:eastAsia="ru-RU"/>
        </w:rPr>
        <w:t>Бросачиха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Бызовы</w:t>
      </w:r>
      <w:proofErr w:type="spellEnd"/>
      <w:r w:rsidR="005155B4" w:rsidRPr="007405B1">
        <w:rPr>
          <w:b/>
          <w:szCs w:val="28"/>
          <w:lang w:eastAsia="ru-RU"/>
        </w:rPr>
        <w:t>, Великий Двор, Верхнее Заполье, Верхняя, Верхняя Горка, Волость, Волость, Высокое, Гора, Гора, Гора, Горка-</w:t>
      </w:r>
      <w:proofErr w:type="spellStart"/>
      <w:r w:rsidR="005155B4" w:rsidRPr="007405B1">
        <w:rPr>
          <w:b/>
          <w:szCs w:val="28"/>
          <w:lang w:eastAsia="ru-RU"/>
        </w:rPr>
        <w:t>Рудаковская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Горончарово</w:t>
      </w:r>
      <w:proofErr w:type="spellEnd"/>
      <w:r w:rsidR="005155B4" w:rsidRPr="007405B1">
        <w:rPr>
          <w:b/>
          <w:szCs w:val="28"/>
          <w:lang w:eastAsia="ru-RU"/>
        </w:rPr>
        <w:t xml:space="preserve">, Демидовы, </w:t>
      </w:r>
      <w:proofErr w:type="spellStart"/>
      <w:r w:rsidR="005155B4" w:rsidRPr="007405B1">
        <w:rPr>
          <w:b/>
          <w:szCs w:val="28"/>
          <w:lang w:eastAsia="ru-RU"/>
        </w:rPr>
        <w:t>Донковы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Ендюга</w:t>
      </w:r>
      <w:proofErr w:type="spellEnd"/>
      <w:r w:rsidR="005155B4" w:rsidRPr="007405B1">
        <w:rPr>
          <w:b/>
          <w:szCs w:val="28"/>
          <w:lang w:eastAsia="ru-RU"/>
        </w:rPr>
        <w:t xml:space="preserve">, Ждановы, Заболотье, Заборье, Заборье, Заборье, Задворье, </w:t>
      </w:r>
      <w:proofErr w:type="spellStart"/>
      <w:r w:rsidR="005155B4" w:rsidRPr="007405B1">
        <w:rPr>
          <w:b/>
          <w:szCs w:val="28"/>
          <w:lang w:eastAsia="ru-RU"/>
        </w:rPr>
        <w:t>Закода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Залебедка</w:t>
      </w:r>
      <w:proofErr w:type="spellEnd"/>
      <w:proofErr w:type="gramEnd"/>
      <w:r w:rsidR="005155B4" w:rsidRPr="007405B1">
        <w:rPr>
          <w:b/>
          <w:szCs w:val="28"/>
          <w:lang w:eastAsia="ru-RU"/>
        </w:rPr>
        <w:t xml:space="preserve">, </w:t>
      </w:r>
      <w:proofErr w:type="gramStart"/>
      <w:r w:rsidR="005155B4" w:rsidRPr="007405B1">
        <w:rPr>
          <w:b/>
          <w:szCs w:val="28"/>
          <w:lang w:eastAsia="ru-RU"/>
        </w:rPr>
        <w:t xml:space="preserve">Заполье, Заполье, Заполье, Заполье, Заполье, </w:t>
      </w:r>
      <w:proofErr w:type="spellStart"/>
      <w:r w:rsidR="005155B4" w:rsidRPr="007405B1">
        <w:rPr>
          <w:b/>
          <w:szCs w:val="28"/>
          <w:lang w:eastAsia="ru-RU"/>
        </w:rPr>
        <w:t>Заручевье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Заручей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Зачачье</w:t>
      </w:r>
      <w:proofErr w:type="spellEnd"/>
      <w:r w:rsidR="005155B4" w:rsidRPr="007405B1">
        <w:rPr>
          <w:b/>
          <w:szCs w:val="28"/>
          <w:lang w:eastAsia="ru-RU"/>
        </w:rPr>
        <w:t xml:space="preserve">, Золотка, </w:t>
      </w:r>
      <w:proofErr w:type="spellStart"/>
      <w:r w:rsidR="005155B4" w:rsidRPr="007405B1">
        <w:rPr>
          <w:b/>
          <w:szCs w:val="28"/>
          <w:lang w:eastAsia="ru-RU"/>
        </w:rPr>
        <w:t>Калажма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Карчево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Кашевариха</w:t>
      </w:r>
      <w:proofErr w:type="spellEnd"/>
      <w:r w:rsidR="005155B4" w:rsidRPr="007405B1">
        <w:rPr>
          <w:b/>
          <w:szCs w:val="28"/>
          <w:lang w:eastAsia="ru-RU"/>
        </w:rPr>
        <w:t xml:space="preserve">, Кельи, </w:t>
      </w:r>
      <w:proofErr w:type="spellStart"/>
      <w:r w:rsidR="005155B4" w:rsidRPr="007405B1">
        <w:rPr>
          <w:b/>
          <w:szCs w:val="28"/>
          <w:lang w:eastAsia="ru-RU"/>
        </w:rPr>
        <w:t>Клубочиха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Кожгора</w:t>
      </w:r>
      <w:proofErr w:type="spellEnd"/>
      <w:r w:rsidR="005155B4" w:rsidRPr="007405B1">
        <w:rPr>
          <w:b/>
          <w:szCs w:val="28"/>
          <w:lang w:eastAsia="ru-RU"/>
        </w:rPr>
        <w:t xml:space="preserve">, Короли, Короткие, </w:t>
      </w:r>
      <w:proofErr w:type="spellStart"/>
      <w:r w:rsidR="005155B4" w:rsidRPr="007405B1">
        <w:rPr>
          <w:b/>
          <w:szCs w:val="28"/>
          <w:lang w:eastAsia="ru-RU"/>
        </w:rPr>
        <w:t>Коскошина</w:t>
      </w:r>
      <w:proofErr w:type="spellEnd"/>
      <w:r w:rsidR="005155B4" w:rsidRPr="007405B1">
        <w:rPr>
          <w:b/>
          <w:szCs w:val="28"/>
          <w:lang w:eastAsia="ru-RU"/>
        </w:rPr>
        <w:t xml:space="preserve">, Красный Яр, Красный Яр, Кривец, Крюк, </w:t>
      </w:r>
      <w:proofErr w:type="spellStart"/>
      <w:r w:rsidR="005155B4" w:rsidRPr="007405B1">
        <w:rPr>
          <w:b/>
          <w:szCs w:val="28"/>
          <w:lang w:eastAsia="ru-RU"/>
        </w:rPr>
        <w:t>Кудосмина</w:t>
      </w:r>
      <w:proofErr w:type="spellEnd"/>
      <w:r w:rsidR="005155B4" w:rsidRPr="007405B1">
        <w:rPr>
          <w:b/>
          <w:szCs w:val="28"/>
          <w:lang w:eastAsia="ru-RU"/>
        </w:rPr>
        <w:t xml:space="preserve">, Кузнецово, </w:t>
      </w:r>
      <w:proofErr w:type="spellStart"/>
      <w:r w:rsidR="005155B4" w:rsidRPr="007405B1">
        <w:rPr>
          <w:b/>
          <w:szCs w:val="28"/>
          <w:lang w:eastAsia="ru-RU"/>
        </w:rPr>
        <w:t>Кузнечиха</w:t>
      </w:r>
      <w:proofErr w:type="spellEnd"/>
      <w:r w:rsidR="005155B4" w:rsidRPr="007405B1">
        <w:rPr>
          <w:b/>
          <w:szCs w:val="28"/>
          <w:lang w:eastAsia="ru-RU"/>
        </w:rPr>
        <w:t xml:space="preserve">, Кулига, Кулига, </w:t>
      </w:r>
      <w:proofErr w:type="spellStart"/>
      <w:r w:rsidR="005155B4" w:rsidRPr="007405B1">
        <w:rPr>
          <w:b/>
          <w:szCs w:val="28"/>
          <w:lang w:eastAsia="ru-RU"/>
        </w:rPr>
        <w:t>Кульмино</w:t>
      </w:r>
      <w:proofErr w:type="spellEnd"/>
      <w:r w:rsidR="005155B4" w:rsidRPr="007405B1">
        <w:rPr>
          <w:b/>
          <w:szCs w:val="28"/>
          <w:lang w:eastAsia="ru-RU"/>
        </w:rPr>
        <w:t xml:space="preserve"> Большое, </w:t>
      </w:r>
      <w:proofErr w:type="spellStart"/>
      <w:r w:rsidR="005155B4" w:rsidRPr="007405B1">
        <w:rPr>
          <w:b/>
          <w:szCs w:val="28"/>
          <w:lang w:eastAsia="ru-RU"/>
        </w:rPr>
        <w:t>Кульмино</w:t>
      </w:r>
      <w:proofErr w:type="spellEnd"/>
      <w:r w:rsidR="005155B4" w:rsidRPr="007405B1">
        <w:rPr>
          <w:b/>
          <w:szCs w:val="28"/>
          <w:lang w:eastAsia="ru-RU"/>
        </w:rPr>
        <w:t xml:space="preserve"> Малое, </w:t>
      </w:r>
      <w:proofErr w:type="spellStart"/>
      <w:r w:rsidR="005155B4" w:rsidRPr="007405B1">
        <w:rPr>
          <w:b/>
          <w:szCs w:val="28"/>
          <w:lang w:eastAsia="ru-RU"/>
        </w:rPr>
        <w:t>Кязьмеш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Лохта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Лысица</w:t>
      </w:r>
      <w:proofErr w:type="spellEnd"/>
      <w:r w:rsidR="005155B4" w:rsidRPr="007405B1">
        <w:rPr>
          <w:b/>
          <w:szCs w:val="28"/>
          <w:lang w:eastAsia="ru-RU"/>
        </w:rPr>
        <w:t xml:space="preserve">, Макары, Малая Гора, Малое Село, </w:t>
      </w:r>
      <w:proofErr w:type="spellStart"/>
      <w:r w:rsidR="005155B4" w:rsidRPr="007405B1">
        <w:rPr>
          <w:b/>
          <w:szCs w:val="28"/>
          <w:lang w:eastAsia="ru-RU"/>
        </w:rPr>
        <w:t>Мурги</w:t>
      </w:r>
      <w:proofErr w:type="spellEnd"/>
      <w:r w:rsidR="005155B4" w:rsidRPr="007405B1">
        <w:rPr>
          <w:b/>
          <w:szCs w:val="28"/>
          <w:lang w:eastAsia="ru-RU"/>
        </w:rPr>
        <w:t xml:space="preserve"> 1-е, Мыза, </w:t>
      </w:r>
      <w:proofErr w:type="spellStart"/>
      <w:r w:rsidR="005155B4" w:rsidRPr="007405B1">
        <w:rPr>
          <w:b/>
          <w:szCs w:val="28"/>
          <w:lang w:eastAsia="ru-RU"/>
        </w:rPr>
        <w:t>Мякурье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Надозеро</w:t>
      </w:r>
      <w:proofErr w:type="spellEnd"/>
      <w:r w:rsidR="005155B4" w:rsidRPr="007405B1">
        <w:rPr>
          <w:b/>
          <w:szCs w:val="28"/>
          <w:lang w:eastAsia="ru-RU"/>
        </w:rPr>
        <w:t xml:space="preserve">, Нижнее Заполье, Нижний Конец, Нижняя, Нижняя Горка, Низ, </w:t>
      </w:r>
      <w:proofErr w:type="spellStart"/>
      <w:r w:rsidR="005155B4" w:rsidRPr="007405B1">
        <w:rPr>
          <w:b/>
          <w:szCs w:val="28"/>
          <w:lang w:eastAsia="ru-RU"/>
        </w:rPr>
        <w:t>Нифериха</w:t>
      </w:r>
      <w:proofErr w:type="spellEnd"/>
      <w:r w:rsidR="005155B4" w:rsidRPr="007405B1">
        <w:rPr>
          <w:b/>
          <w:szCs w:val="28"/>
          <w:lang w:eastAsia="ru-RU"/>
        </w:rPr>
        <w:t xml:space="preserve">, Новая, </w:t>
      </w:r>
      <w:proofErr w:type="spellStart"/>
      <w:r w:rsidR="005155B4" w:rsidRPr="007405B1">
        <w:rPr>
          <w:b/>
          <w:szCs w:val="28"/>
          <w:lang w:eastAsia="ru-RU"/>
        </w:rPr>
        <w:t>Новинные</w:t>
      </w:r>
      <w:proofErr w:type="spellEnd"/>
      <w:r w:rsidR="005155B4" w:rsidRPr="007405B1">
        <w:rPr>
          <w:b/>
          <w:szCs w:val="28"/>
          <w:lang w:eastAsia="ru-RU"/>
        </w:rPr>
        <w:t xml:space="preserve">, Орлово, </w:t>
      </w:r>
      <w:proofErr w:type="spellStart"/>
      <w:r w:rsidR="005155B4" w:rsidRPr="007405B1">
        <w:rPr>
          <w:b/>
          <w:szCs w:val="28"/>
          <w:lang w:eastAsia="ru-RU"/>
        </w:rPr>
        <w:t>Осередок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Осередок</w:t>
      </w:r>
      <w:proofErr w:type="spellEnd"/>
      <w:proofErr w:type="gram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proofErr w:type="gramStart"/>
      <w:r w:rsidR="005155B4" w:rsidRPr="007405B1">
        <w:rPr>
          <w:b/>
          <w:szCs w:val="28"/>
          <w:lang w:eastAsia="ru-RU"/>
        </w:rPr>
        <w:t>Осередок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Офролиха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Печково</w:t>
      </w:r>
      <w:proofErr w:type="spellEnd"/>
      <w:r w:rsidR="005155B4" w:rsidRPr="007405B1">
        <w:rPr>
          <w:b/>
          <w:szCs w:val="28"/>
          <w:lang w:eastAsia="ru-RU"/>
        </w:rPr>
        <w:t xml:space="preserve">, Погост, Погост, Погост, Погост, </w:t>
      </w:r>
      <w:proofErr w:type="spellStart"/>
      <w:r w:rsidR="005155B4" w:rsidRPr="007405B1">
        <w:rPr>
          <w:b/>
          <w:szCs w:val="28"/>
          <w:lang w:eastAsia="ru-RU"/>
        </w:rPr>
        <w:t>Подгор</w:t>
      </w:r>
      <w:proofErr w:type="spellEnd"/>
      <w:r w:rsidR="005155B4" w:rsidRPr="007405B1">
        <w:rPr>
          <w:b/>
          <w:szCs w:val="28"/>
          <w:lang w:eastAsia="ru-RU"/>
        </w:rPr>
        <w:t xml:space="preserve">, Подлесье, </w:t>
      </w:r>
      <w:proofErr w:type="spellStart"/>
      <w:r w:rsidR="005155B4" w:rsidRPr="007405B1">
        <w:rPr>
          <w:b/>
          <w:szCs w:val="28"/>
          <w:lang w:eastAsia="ru-RU"/>
        </w:rPr>
        <w:t>Подсосанье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Подсосанье</w:t>
      </w:r>
      <w:proofErr w:type="spellEnd"/>
      <w:r w:rsidR="005155B4" w:rsidRPr="007405B1">
        <w:rPr>
          <w:b/>
          <w:szCs w:val="28"/>
          <w:lang w:eastAsia="ru-RU"/>
        </w:rPr>
        <w:t xml:space="preserve">, Понизовье, Прилук, </w:t>
      </w:r>
      <w:proofErr w:type="spellStart"/>
      <w:r w:rsidR="005155B4" w:rsidRPr="007405B1">
        <w:rPr>
          <w:b/>
          <w:szCs w:val="28"/>
          <w:lang w:eastAsia="ru-RU"/>
        </w:rPr>
        <w:t>Рехачевы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Рипалово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Россохи</w:t>
      </w:r>
      <w:proofErr w:type="spellEnd"/>
      <w:r w:rsidR="005155B4" w:rsidRPr="007405B1">
        <w:rPr>
          <w:b/>
          <w:szCs w:val="28"/>
          <w:lang w:eastAsia="ru-RU"/>
        </w:rPr>
        <w:t xml:space="preserve">, Семеновы, Слободка, Старая Мельница, </w:t>
      </w:r>
      <w:proofErr w:type="spellStart"/>
      <w:r w:rsidR="005155B4" w:rsidRPr="007405B1">
        <w:rPr>
          <w:b/>
          <w:szCs w:val="28"/>
          <w:lang w:eastAsia="ru-RU"/>
        </w:rPr>
        <w:t>Сухарево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Такшеево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Таратины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Тегра</w:t>
      </w:r>
      <w:proofErr w:type="spellEnd"/>
      <w:r w:rsidR="005155B4" w:rsidRPr="007405B1">
        <w:rPr>
          <w:b/>
          <w:szCs w:val="28"/>
          <w:lang w:eastAsia="ru-RU"/>
        </w:rPr>
        <w:t xml:space="preserve"> Верхняя, </w:t>
      </w:r>
      <w:proofErr w:type="spellStart"/>
      <w:r w:rsidR="005155B4" w:rsidRPr="007405B1">
        <w:rPr>
          <w:b/>
          <w:szCs w:val="28"/>
          <w:lang w:eastAsia="ru-RU"/>
        </w:rPr>
        <w:t>Тегра</w:t>
      </w:r>
      <w:proofErr w:type="spellEnd"/>
      <w:r w:rsidR="005155B4" w:rsidRPr="007405B1">
        <w:rPr>
          <w:b/>
          <w:szCs w:val="28"/>
          <w:lang w:eastAsia="ru-RU"/>
        </w:rPr>
        <w:t xml:space="preserve"> Нижняя, </w:t>
      </w:r>
      <w:proofErr w:type="spellStart"/>
      <w:r w:rsidR="005155B4" w:rsidRPr="007405B1">
        <w:rPr>
          <w:b/>
          <w:szCs w:val="28"/>
          <w:lang w:eastAsia="ru-RU"/>
        </w:rPr>
        <w:t>Тегра-Осередок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Толокново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Узиково</w:t>
      </w:r>
      <w:proofErr w:type="spellEnd"/>
      <w:r w:rsidR="005155B4" w:rsidRPr="007405B1">
        <w:rPr>
          <w:b/>
          <w:szCs w:val="28"/>
          <w:lang w:eastAsia="ru-RU"/>
        </w:rPr>
        <w:t xml:space="preserve">, Усолье, </w:t>
      </w:r>
      <w:proofErr w:type="spellStart"/>
      <w:r w:rsidR="005155B4" w:rsidRPr="007405B1">
        <w:rPr>
          <w:b/>
          <w:szCs w:val="28"/>
          <w:lang w:eastAsia="ru-RU"/>
        </w:rPr>
        <w:t>Усть</w:t>
      </w:r>
      <w:proofErr w:type="spellEnd"/>
      <w:r w:rsidR="005155B4" w:rsidRPr="007405B1">
        <w:rPr>
          <w:b/>
          <w:szCs w:val="28"/>
          <w:lang w:eastAsia="ru-RU"/>
        </w:rPr>
        <w:t xml:space="preserve">-Емца, </w:t>
      </w:r>
      <w:proofErr w:type="spellStart"/>
      <w:r w:rsidR="005155B4" w:rsidRPr="007405B1">
        <w:rPr>
          <w:b/>
          <w:szCs w:val="28"/>
          <w:lang w:eastAsia="ru-RU"/>
        </w:rPr>
        <w:t>Усть-Мехреньга</w:t>
      </w:r>
      <w:proofErr w:type="spellEnd"/>
      <w:r w:rsidR="005155B4" w:rsidRPr="007405B1">
        <w:rPr>
          <w:b/>
          <w:szCs w:val="28"/>
          <w:lang w:eastAsia="ru-RU"/>
        </w:rPr>
        <w:t xml:space="preserve">, Фатеевы, Фомины, Хвосты Старые, Часовня, </w:t>
      </w:r>
      <w:proofErr w:type="spellStart"/>
      <w:r w:rsidR="005155B4" w:rsidRPr="007405B1">
        <w:rPr>
          <w:b/>
          <w:szCs w:val="28"/>
          <w:lang w:eastAsia="ru-RU"/>
        </w:rPr>
        <w:t>Чащевка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Чупровщина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Чуроз</w:t>
      </w:r>
      <w:proofErr w:type="spellEnd"/>
      <w:r w:rsidR="005155B4" w:rsidRPr="007405B1">
        <w:rPr>
          <w:b/>
          <w:szCs w:val="28"/>
          <w:lang w:eastAsia="ru-RU"/>
        </w:rPr>
        <w:t xml:space="preserve">-Гора, </w:t>
      </w:r>
      <w:proofErr w:type="spellStart"/>
      <w:r w:rsidR="005155B4" w:rsidRPr="007405B1">
        <w:rPr>
          <w:b/>
          <w:szCs w:val="28"/>
          <w:lang w:eastAsia="ru-RU"/>
        </w:rPr>
        <w:t>Чухча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Шидозеро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Шильцево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Шильцово</w:t>
      </w:r>
      <w:proofErr w:type="spellEnd"/>
      <w:r w:rsidR="005155B4" w:rsidRPr="007405B1">
        <w:rPr>
          <w:b/>
          <w:szCs w:val="28"/>
          <w:lang w:eastAsia="ru-RU"/>
        </w:rPr>
        <w:t xml:space="preserve">, поселков </w:t>
      </w:r>
      <w:proofErr w:type="spellStart"/>
      <w:r w:rsidR="005155B4" w:rsidRPr="007405B1">
        <w:rPr>
          <w:b/>
          <w:szCs w:val="28"/>
          <w:lang w:eastAsia="ru-RU"/>
        </w:rPr>
        <w:t>Ваймужский</w:t>
      </w:r>
      <w:proofErr w:type="spellEnd"/>
      <w:r w:rsidR="005155B4" w:rsidRPr="007405B1">
        <w:rPr>
          <w:b/>
          <w:szCs w:val="28"/>
          <w:lang w:eastAsia="ru-RU"/>
        </w:rPr>
        <w:t xml:space="preserve">, </w:t>
      </w:r>
      <w:proofErr w:type="spellStart"/>
      <w:r w:rsidR="005155B4" w:rsidRPr="007405B1">
        <w:rPr>
          <w:b/>
          <w:szCs w:val="28"/>
          <w:lang w:eastAsia="ru-RU"/>
        </w:rPr>
        <w:t>Пешемское</w:t>
      </w:r>
      <w:proofErr w:type="spellEnd"/>
      <w:r w:rsidR="005155B4" w:rsidRPr="007405B1">
        <w:rPr>
          <w:b/>
          <w:szCs w:val="28"/>
          <w:lang w:eastAsia="ru-RU"/>
        </w:rPr>
        <w:t>, Почтовое и села Емецк</w:t>
      </w:r>
      <w:proofErr w:type="gramEnd"/>
    </w:p>
    <w:p w:rsidR="005155B4" w:rsidRPr="007405B1" w:rsidRDefault="005155B4" w:rsidP="005155B4">
      <w:pPr>
        <w:spacing w:line="276" w:lineRule="auto"/>
        <w:jc w:val="center"/>
        <w:rPr>
          <w:szCs w:val="28"/>
        </w:rPr>
      </w:pPr>
    </w:p>
    <w:p w:rsidR="007405B1" w:rsidRPr="007405B1" w:rsidRDefault="007405B1" w:rsidP="007405B1">
      <w:pPr>
        <w:pStyle w:val="3"/>
        <w:jc w:val="center"/>
        <w:rPr>
          <w:rFonts w:ascii="Times New Roman" w:hAnsi="Times New Roman" w:cs="Times New Roman"/>
          <w:szCs w:val="28"/>
        </w:rPr>
      </w:pPr>
      <w:bookmarkStart w:id="26" w:name="_Toc258228310"/>
      <w:bookmarkStart w:id="27" w:name="_Toc281221524"/>
      <w:bookmarkStart w:id="28" w:name="_Toc395282219"/>
      <w:bookmarkStart w:id="29" w:name="_Toc415145648"/>
      <w:bookmarkStart w:id="30" w:name="_Toc419817021"/>
      <w:bookmarkStart w:id="31" w:name="_Toc421022274"/>
      <w:bookmarkStart w:id="32" w:name="_Toc437520202"/>
      <w:bookmarkStart w:id="33" w:name="_Toc20828178"/>
      <w:bookmarkStart w:id="34" w:name="_Toc29644850"/>
      <w:bookmarkStart w:id="35" w:name="_Toc29650426"/>
      <w:bookmarkStart w:id="36" w:name="_Toc29650536"/>
      <w:bookmarkStart w:id="37" w:name="_Toc29651184"/>
      <w:bookmarkStart w:id="38" w:name="_Toc129795221"/>
      <w:bookmarkStart w:id="39" w:name="_Toc129795555"/>
      <w:bookmarkStart w:id="40" w:name="_Toc129795947"/>
      <w:bookmarkStart w:id="41" w:name="_Toc137802774"/>
      <w:bookmarkStart w:id="42" w:name="_Toc138773521"/>
      <w:bookmarkStart w:id="43" w:name="_Toc138773911"/>
      <w:bookmarkStart w:id="44" w:name="_Toc138774558"/>
      <w:bookmarkStart w:id="45" w:name="_Toc138778240"/>
      <w:bookmarkStart w:id="46" w:name="_Toc138779393"/>
      <w:bookmarkStart w:id="47" w:name="_Toc139273299"/>
      <w:bookmarkStart w:id="48" w:name="_Toc139273517"/>
      <w:bookmarkStart w:id="49" w:name="_Toc139276032"/>
      <w:bookmarkStart w:id="50" w:name="_Toc139279514"/>
      <w:bookmarkStart w:id="51" w:name="_Toc139279940"/>
      <w:bookmarkStart w:id="52" w:name="_Toc139280094"/>
      <w:bookmarkStart w:id="53" w:name="_Toc186283630"/>
      <w:bookmarkStart w:id="54" w:name="_Toc138773534"/>
      <w:bookmarkStart w:id="55" w:name="_Toc138775541"/>
      <w:bookmarkStart w:id="56" w:name="_Toc139279524"/>
      <w:bookmarkStart w:id="57" w:name="_Toc139279868"/>
      <w:bookmarkStart w:id="58" w:name="_Toc139280105"/>
      <w:bookmarkStart w:id="59" w:name="_Toc139280197"/>
      <w:bookmarkStart w:id="60" w:name="_Toc141723652"/>
      <w:bookmarkStart w:id="61" w:name="_Toc186282649"/>
      <w:r w:rsidRPr="007405B1">
        <w:rPr>
          <w:rFonts w:ascii="Times New Roman" w:hAnsi="Times New Roman" w:cs="Times New Roman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7405B1">
        <w:rPr>
          <w:szCs w:val="28"/>
          <w:lang w:eastAsia="ru-RU"/>
        </w:rPr>
        <w:t xml:space="preserve">1. </w:t>
      </w:r>
      <w:r w:rsidRPr="007405B1">
        <w:rPr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5 статьи 7 настоящих Правил. </w:t>
      </w:r>
      <w:r w:rsidRPr="007405B1">
        <w:rPr>
          <w:szCs w:val="28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6" w:anchor="/document/12184522/entry/0" w:history="1">
        <w:r w:rsidRPr="007405B1">
          <w:rPr>
            <w:szCs w:val="28"/>
          </w:rPr>
          <w:t>Федерального закона</w:t>
        </w:r>
      </w:hyperlink>
      <w:r w:rsidRPr="007405B1">
        <w:rPr>
          <w:szCs w:val="28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</w:rPr>
      </w:pPr>
      <w:r w:rsidRPr="007405B1">
        <w:rPr>
          <w:szCs w:val="28"/>
          <w:lang w:eastAsia="ru-RU"/>
        </w:rPr>
        <w:t>2.</w:t>
      </w:r>
      <w:r w:rsidRPr="007405B1">
        <w:rPr>
          <w:szCs w:val="28"/>
          <w:lang w:eastAsia="ru-RU"/>
        </w:rPr>
        <w:tab/>
      </w:r>
      <w:r w:rsidRPr="007405B1">
        <w:rPr>
          <w:szCs w:val="28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7405B1">
        <w:rPr>
          <w:szCs w:val="28"/>
          <w:lang w:eastAsia="ru-RU"/>
        </w:rPr>
        <w:t>Российской Федерации</w:t>
      </w:r>
      <w:r w:rsidRPr="007405B1">
        <w:rPr>
          <w:szCs w:val="28"/>
        </w:rPr>
        <w:t>, с учетом положений настоящих Правил.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7405B1">
        <w:rPr>
          <w:szCs w:val="28"/>
          <w:lang w:eastAsia="ru-RU"/>
        </w:rPr>
        <w:lastRenderedPageBreak/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7405B1">
        <w:rPr>
          <w:szCs w:val="28"/>
          <w:lang w:eastAsia="ru-RU"/>
        </w:rPr>
        <w:t>3.</w:t>
      </w:r>
      <w:r w:rsidRPr="007405B1">
        <w:rPr>
          <w:szCs w:val="28"/>
          <w:lang w:eastAsia="ru-RU"/>
        </w:rPr>
        <w:tab/>
      </w:r>
      <w:proofErr w:type="gramStart"/>
      <w:r w:rsidRPr="007405B1">
        <w:rPr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7405B1">
        <w:rPr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7405B1">
        <w:rPr>
          <w:szCs w:val="28"/>
          <w:lang w:eastAsia="ru-RU"/>
        </w:rPr>
        <w:t>4.</w:t>
      </w:r>
      <w:r w:rsidRPr="007405B1">
        <w:rPr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7405B1">
        <w:rPr>
          <w:szCs w:val="28"/>
          <w:lang w:eastAsia="ru-RU"/>
        </w:rPr>
        <w:t>5.</w:t>
      </w:r>
      <w:r w:rsidRPr="007405B1">
        <w:rPr>
          <w:szCs w:val="28"/>
          <w:lang w:eastAsia="ru-RU"/>
        </w:rPr>
        <w:tab/>
        <w:t>В случае</w:t>
      </w:r>
      <w:proofErr w:type="gramStart"/>
      <w:r w:rsidRPr="007405B1">
        <w:rPr>
          <w:szCs w:val="28"/>
          <w:lang w:eastAsia="ru-RU"/>
        </w:rPr>
        <w:t>,</w:t>
      </w:r>
      <w:proofErr w:type="gramEnd"/>
      <w:r w:rsidRPr="007405B1">
        <w:rPr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rFonts w:eastAsia="Calibri"/>
          <w:szCs w:val="28"/>
          <w:lang w:eastAsia="ru-RU"/>
        </w:rPr>
      </w:pPr>
      <w:r w:rsidRPr="007405B1">
        <w:rPr>
          <w:rFonts w:eastAsia="Calibri"/>
          <w:szCs w:val="28"/>
          <w:lang w:eastAsia="ru-RU"/>
        </w:rPr>
        <w:t xml:space="preserve">6. </w:t>
      </w:r>
      <w:proofErr w:type="gramStart"/>
      <w:r w:rsidRPr="007405B1">
        <w:rPr>
          <w:rFonts w:eastAsia="Calibri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7" w:history="1">
        <w:r w:rsidRPr="007405B1">
          <w:rPr>
            <w:rFonts w:eastAsia="Calibri"/>
            <w:szCs w:val="28"/>
            <w:lang w:eastAsia="ru-RU"/>
          </w:rPr>
          <w:t>части 2 статьи 55.32</w:t>
        </w:r>
      </w:hyperlink>
      <w:r w:rsidRPr="007405B1">
        <w:rPr>
          <w:rFonts w:eastAsia="Calibri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7405B1">
        <w:rPr>
          <w:rFonts w:eastAsia="Calibri"/>
          <w:szCs w:val="28"/>
          <w:lang w:eastAsia="ru-RU"/>
        </w:rPr>
        <w:t xml:space="preserve"> </w:t>
      </w:r>
      <w:proofErr w:type="gramStart"/>
      <w:r w:rsidRPr="007405B1">
        <w:rPr>
          <w:rFonts w:eastAsia="Calibri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</w:t>
      </w:r>
      <w:r w:rsidRPr="007405B1">
        <w:rPr>
          <w:rFonts w:eastAsia="Calibri"/>
          <w:szCs w:val="28"/>
          <w:lang w:eastAsia="ru-RU"/>
        </w:rPr>
        <w:lastRenderedPageBreak/>
        <w:t xml:space="preserve">лицу, в государственное учреждение или орган местного самоуправления, которые указаны в </w:t>
      </w:r>
      <w:hyperlink r:id="rId8" w:history="1">
        <w:r w:rsidRPr="007405B1">
          <w:rPr>
            <w:rFonts w:eastAsia="Calibri"/>
            <w:szCs w:val="28"/>
            <w:lang w:eastAsia="ru-RU"/>
          </w:rPr>
          <w:t>части 2 статьи 55.32</w:t>
        </w:r>
      </w:hyperlink>
      <w:r w:rsidRPr="007405B1">
        <w:rPr>
          <w:rFonts w:eastAsia="Calibri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7405B1">
        <w:rPr>
          <w:rFonts w:eastAsia="Calibri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7405B1">
        <w:rPr>
          <w:szCs w:val="28"/>
          <w:lang w:eastAsia="ru-RU"/>
        </w:rPr>
        <w:t>7.</w:t>
      </w:r>
      <w:r w:rsidRPr="007405B1">
        <w:rPr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7405B1" w:rsidRPr="007405B1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7405B1">
        <w:rPr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5155B4" w:rsidRPr="007405B1" w:rsidRDefault="005155B4" w:rsidP="005155B4">
      <w:pPr>
        <w:pStyle w:val="4"/>
        <w:spacing w:after="240" w:line="276" w:lineRule="auto"/>
        <w:ind w:firstLine="709"/>
        <w:rPr>
          <w:bCs/>
          <w:szCs w:val="28"/>
          <w:lang w:eastAsia="en-US"/>
        </w:rPr>
      </w:pPr>
      <w:r w:rsidRPr="007405B1">
        <w:rPr>
          <w:szCs w:val="28"/>
          <w:lang w:eastAsia="en-US"/>
        </w:rPr>
        <w:t>Статья 27.1. Ж-1. Зона застройки индивидуальными жилыми домами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5155B4" w:rsidRPr="007405B1" w:rsidRDefault="005155B4" w:rsidP="005155B4">
      <w:pPr>
        <w:tabs>
          <w:tab w:val="left" w:pos="1134"/>
        </w:tabs>
        <w:spacing w:line="276" w:lineRule="auto"/>
        <w:ind w:firstLine="709"/>
        <w:rPr>
          <w:szCs w:val="28"/>
        </w:rPr>
      </w:pPr>
      <w:r w:rsidRPr="007405B1">
        <w:rPr>
          <w:szCs w:val="28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</w:t>
      </w:r>
      <w:r w:rsidRPr="007405B1">
        <w:rPr>
          <w:szCs w:val="28"/>
          <w:lang w:eastAsia="en-US"/>
        </w:rPr>
        <w:t>зоны застройки индивидуальными жилыми домами</w:t>
      </w:r>
      <w:r w:rsidRPr="007405B1">
        <w:rPr>
          <w:szCs w:val="28"/>
        </w:rPr>
        <w:t xml:space="preserve"> представлены в таблице 2.1.</w:t>
      </w:r>
    </w:p>
    <w:p w:rsidR="005155B4" w:rsidRPr="007405B1" w:rsidRDefault="005155B4" w:rsidP="005155B4">
      <w:pPr>
        <w:pStyle w:val="ConsNormal"/>
        <w:spacing w:line="276" w:lineRule="auto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155B4" w:rsidRPr="007405B1" w:rsidRDefault="005155B4" w:rsidP="005155B4">
      <w:pPr>
        <w:tabs>
          <w:tab w:val="left" w:pos="709"/>
          <w:tab w:val="left" w:pos="851"/>
        </w:tabs>
        <w:spacing w:line="276" w:lineRule="auto"/>
        <w:jc w:val="center"/>
        <w:rPr>
          <w:szCs w:val="28"/>
          <w:lang w:bidi="ru-RU"/>
        </w:rPr>
      </w:pPr>
      <w:r w:rsidRPr="007405B1">
        <w:rPr>
          <w:szCs w:val="28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</w:t>
      </w:r>
      <w:r w:rsidRPr="007405B1">
        <w:rPr>
          <w:szCs w:val="28"/>
          <w:lang w:eastAsia="en-US"/>
        </w:rPr>
        <w:t>зоны застройки индивидуальными жилыми домами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3238"/>
        <w:gridCol w:w="486"/>
        <w:gridCol w:w="2597"/>
        <w:gridCol w:w="3393"/>
      </w:tblGrid>
      <w:tr w:rsidR="005155B4" w:rsidRPr="006F0C19" w:rsidTr="00EC57AC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bookmarkStart w:id="62" w:name="_GoBack"/>
            <w:r w:rsidRPr="006F0C1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1271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ind w:firstLine="2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5155B4" w:rsidRPr="006F0C19" w:rsidRDefault="005155B4" w:rsidP="005155B4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3232"/>
        <w:gridCol w:w="510"/>
        <w:gridCol w:w="2591"/>
        <w:gridCol w:w="3387"/>
      </w:tblGrid>
      <w:tr w:rsidR="005155B4" w:rsidRPr="006F0C19" w:rsidTr="00EC57AC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EC57AC">
            <w:pPr>
              <w:ind w:firstLine="2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5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EC57AC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5155B4" w:rsidRPr="006F0C19" w:rsidRDefault="005155B4" w:rsidP="00EC57AC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их проживанием в таком здании, не предназначенного для раздела на самостоятельные объекты недвижимости);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выращивание сельскохозяйственных культур;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5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600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максимальные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отступы от границ земельного участка до объекта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индивидуального жилищного строительства – 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красных линий улиц –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5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красных линий проездов – 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минимальное расстояние от других построек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минимальное расстояние от границ 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-с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оседнего земельного участка до объекта индивидуального жилищного строительства – 3 м.</w:t>
            </w:r>
          </w:p>
          <w:p w:rsidR="005155B4" w:rsidRPr="006F0C19" w:rsidRDefault="005155B4" w:rsidP="005155B4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объекта индивидуального жилищного строительства – 3;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бани – 2;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вспомогательных построек (кроме бани) – 1;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индивидуального жилищного строительства – 20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бани – 8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вспомогательных построек (кроме бани) – 4 м.</w:t>
            </w:r>
          </w:p>
          <w:p w:rsidR="005155B4" w:rsidRPr="006F0C19" w:rsidRDefault="005155B4" w:rsidP="005155B4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40.</w:t>
            </w:r>
          </w:p>
          <w:p w:rsidR="005155B4" w:rsidRPr="006F0C19" w:rsidRDefault="005155B4" w:rsidP="005155B4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показатели: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ограждения земельного участка – 1,8 м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2.3</w:t>
            </w:r>
          </w:p>
        </w:tc>
        <w:tc>
          <w:tcPr>
            <w:tcW w:w="1271" w:type="pct"/>
            <w:shd w:val="clear" w:color="auto" w:fill="auto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размеры земельного участка –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1000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максимальные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1500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отступы от границ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земельного участка до объекта жилищного строительства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отступы от красных линий улиц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5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красных линий проездов – 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минимальное расстояние от границ 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-с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оседнего земельного участка до объекта индивидуального жилищного строительства – 3 м.</w:t>
            </w:r>
          </w:p>
          <w:p w:rsidR="005155B4" w:rsidRPr="006F0C19" w:rsidRDefault="005155B4" w:rsidP="005155B4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объекта жилищного строительства – 3;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бани – 2;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вспомогательных построек (кроме бани) – 1;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жилищного строительства – 14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бани – 8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вспомогательных построек (кроме бани) – 4 м.</w:t>
            </w:r>
          </w:p>
          <w:p w:rsidR="005155B4" w:rsidRPr="006F0C19" w:rsidRDefault="005155B4" w:rsidP="005155B4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50;</w:t>
            </w:r>
          </w:p>
          <w:p w:rsidR="005155B4" w:rsidRPr="006F0C19" w:rsidRDefault="005155B4" w:rsidP="005155B4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показатели: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ограждения земельного участка – 1,8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максимальное общее количество совмещенных домов блокированного жилого дома – не устанавливается 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auto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auto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2.2</w:t>
            </w:r>
          </w:p>
        </w:tc>
        <w:tc>
          <w:tcPr>
            <w:tcW w:w="1271" w:type="pct"/>
            <w:shd w:val="clear" w:color="auto" w:fill="auto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sz w:val="20"/>
                <w:szCs w:val="20"/>
              </w:rPr>
            </w:pPr>
            <w:r w:rsidRPr="006F0C19">
              <w:rPr>
                <w:rFonts w:eastAsia="Calibri"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sz w:val="20"/>
                <w:szCs w:val="20"/>
              </w:rPr>
            </w:pPr>
            <w:r w:rsidRPr="006F0C19">
              <w:rPr>
                <w:rFonts w:eastAsia="Calibri"/>
                <w:sz w:val="20"/>
                <w:szCs w:val="20"/>
              </w:rPr>
              <w:t>производство сельскохозяйственной продукции;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sz w:val="20"/>
                <w:szCs w:val="20"/>
              </w:rPr>
            </w:pPr>
            <w:r w:rsidRPr="006F0C19">
              <w:rPr>
                <w:rFonts w:eastAsia="Calibri"/>
                <w:sz w:val="20"/>
                <w:szCs w:val="20"/>
              </w:rPr>
              <w:t xml:space="preserve">размещение гаража и </w:t>
            </w:r>
            <w:r w:rsidRPr="006F0C19">
              <w:rPr>
                <w:rFonts w:eastAsia="Calibri"/>
                <w:sz w:val="20"/>
                <w:szCs w:val="20"/>
              </w:rPr>
              <w:lastRenderedPageBreak/>
              <w:t>иных вспомогательных сооружений;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sz w:val="20"/>
                <w:szCs w:val="20"/>
              </w:rPr>
            </w:pPr>
            <w:r w:rsidRPr="006F0C19">
              <w:rPr>
                <w:rFonts w:eastAsia="Calibri"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600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2000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Минимальные отступы от границ земельных участков в целях определения </w:t>
            </w: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минимальное расстояние от границ 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-с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оседнего земельного участка до объекта индивидуального жилищного строительства – 3 м.</w:t>
            </w:r>
          </w:p>
          <w:p w:rsidR="005155B4" w:rsidRPr="006F0C19" w:rsidRDefault="005155B4" w:rsidP="005155B4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объекта индивидуального жилищного строительства – 3;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бани – 2;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вспомогательных построек (кроме бани) – 1;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индивидуального жилищного строительства – 20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бани – 8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вспомогательных построек (кроме бани) – 4 м.</w:t>
            </w:r>
          </w:p>
          <w:p w:rsidR="005155B4" w:rsidRPr="006F0C19" w:rsidRDefault="005155B4" w:rsidP="005155B4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30;</w:t>
            </w:r>
          </w:p>
          <w:p w:rsidR="005155B4" w:rsidRPr="006F0C19" w:rsidRDefault="005155B4" w:rsidP="005155B4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показатели: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4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478" w:right="5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максимальная высота ограждения земельного участка – 1,8 м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auto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Обслуживание жилой застройки</w:t>
            </w:r>
          </w:p>
        </w:tc>
        <w:tc>
          <w:tcPr>
            <w:tcW w:w="238" w:type="pct"/>
            <w:shd w:val="clear" w:color="auto" w:fill="auto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2.7</w:t>
            </w:r>
          </w:p>
        </w:tc>
        <w:tc>
          <w:tcPr>
            <w:tcW w:w="1271" w:type="pct"/>
            <w:shd w:val="clear" w:color="auto" w:fill="auto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sz w:val="20"/>
                <w:szCs w:val="20"/>
              </w:rPr>
            </w:pPr>
            <w:proofErr w:type="gramStart"/>
            <w:r w:rsidRPr="006F0C19">
              <w:rPr>
                <w:rFonts w:eastAsia="Calibri"/>
                <w:sz w:val="20"/>
                <w:szCs w:val="20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</w:t>
            </w:r>
            <w:r w:rsidRPr="006F0C19">
              <w:rPr>
                <w:rFonts w:eastAsia="Calibri"/>
                <w:sz w:val="20"/>
                <w:szCs w:val="20"/>
              </w:rPr>
              <w:lastRenderedPageBreak/>
              <w:t>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40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максимальные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300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/>
              <w:ind w:left="482" w:right="59" w:hanging="36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1 м от границы участка.</w:t>
            </w:r>
          </w:p>
          <w:p w:rsidR="005155B4" w:rsidRPr="006F0C19" w:rsidRDefault="005155B4" w:rsidP="005155B4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Предельное количество этажей или предельная высота зданий, строений, сооружений) </w:t>
            </w:r>
            <w:proofErr w:type="gramEnd"/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478" w:right="59" w:hanging="374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–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  максимальное количество этажей объекта – 1.</w:t>
            </w:r>
          </w:p>
          <w:p w:rsidR="005155B4" w:rsidRPr="006F0C19" w:rsidRDefault="005155B4" w:rsidP="005155B4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Максимальный процент застройки в границах земельного участка </w:t>
            </w:r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4" w:right="59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–   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машино</w:t>
            </w:r>
            <w:proofErr w:type="spell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кодами 2.7.2, 4.9 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napToGrid/>
              <w:ind w:left="54" w:right="59" w:firstLine="142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79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10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79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napToGrid/>
              <w:ind w:left="54" w:right="59" w:firstLine="142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/>
              <w:ind w:left="482" w:right="59" w:hanging="36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1 м от границы участка.</w:t>
            </w:r>
          </w:p>
          <w:p w:rsidR="005155B4" w:rsidRPr="006F0C19" w:rsidRDefault="005155B4" w:rsidP="005155B4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Предельное количество этажей или предельная высота зданий, строений, сооружений) </w:t>
            </w:r>
            <w:proofErr w:type="gramEnd"/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478" w:right="59" w:hanging="374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–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  максимальное количество этажей объекта – 1.</w:t>
            </w:r>
          </w:p>
          <w:p w:rsidR="005155B4" w:rsidRPr="006F0C19" w:rsidRDefault="005155B4" w:rsidP="005155B4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Максимальный процент застройки в границах земельного участка </w:t>
            </w:r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4" w:right="59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–   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3.2.3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sz w:val="20"/>
                <w:szCs w:val="20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междугородней</w:t>
            </w:r>
            <w:r w:rsidRPr="006F0C19">
              <w:rPr>
                <w:sz w:val="20"/>
                <w:szCs w:val="20"/>
              </w:rPr>
              <w:t xml:space="preserve"> и международной телефонной связи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78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78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3.7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 xml:space="preserve">Размещение зданий и сооружений религиозного </w:t>
            </w:r>
            <w:r w:rsidRPr="006F0C19">
              <w:rPr>
                <w:sz w:val="20"/>
                <w:szCs w:val="20"/>
              </w:rPr>
              <w:lastRenderedPageBreak/>
              <w:t>использования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napToGrid/>
              <w:ind w:left="423" w:right="59" w:hanging="284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 xml:space="preserve">минимальные размеры </w:t>
            </w: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земельного участка – 200 м</w:t>
            </w:r>
            <w:proofErr w:type="gramStart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максимальные размеры земельного участка – 500 м</w:t>
            </w:r>
            <w:proofErr w:type="gramStart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– 30 м.</w:t>
            </w:r>
          </w:p>
          <w:p w:rsidR="005155B4" w:rsidRPr="006F0C19" w:rsidRDefault="005155B4" w:rsidP="005155B4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napToGrid/>
              <w:ind w:left="478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5.1.3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10000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9"/>
              </w:numPr>
              <w:tabs>
                <w:tab w:val="left" w:pos="440"/>
              </w:tabs>
              <w:suppressAutoHyphens w:val="0"/>
              <w:autoSpaceDE w:val="0"/>
              <w:autoSpaceDN w:val="0"/>
              <w:adjustRightInd w:val="0"/>
              <w:snapToGrid/>
              <w:ind w:left="57" w:right="59" w:firstLine="53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85" w:right="59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–   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5.1.2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32" w:right="59" w:hanging="31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4.4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5000</w:t>
            </w:r>
            <w:r w:rsidRPr="006F0C19">
              <w:rPr>
                <w:sz w:val="20"/>
                <w:szCs w:val="20"/>
              </w:rPr>
              <w:t xml:space="preserve">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478" w:right="59" w:hanging="393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80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Ведение огородничества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13.1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6F0C19">
              <w:rPr>
                <w:rStyle w:val="a5"/>
                <w:color w:val="000000"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6F0C19"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napToGrid/>
              <w:ind w:left="396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autoSpaceDE w:val="0"/>
              <w:autoSpaceDN w:val="0"/>
              <w:adjustRightInd w:val="0"/>
              <w:snapToGrid/>
              <w:ind w:left="425" w:right="59" w:hanging="284"/>
              <w:contextualSpacing/>
              <w:jc w:val="left"/>
              <w:rPr>
                <w:bCs/>
                <w:sz w:val="20"/>
                <w:szCs w:val="20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размеры земельного участка – 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autoSpaceDE w:val="0"/>
              <w:autoSpaceDN w:val="0"/>
              <w:adjustRightInd w:val="0"/>
              <w:snapToGrid/>
              <w:ind w:left="425" w:right="59" w:hanging="284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napToGrid/>
              <w:ind w:left="396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337" w:right="59" w:hanging="252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1 м для хозяйственных построек.</w:t>
            </w:r>
          </w:p>
          <w:p w:rsidR="005155B4" w:rsidRPr="006F0C19" w:rsidRDefault="005155B4" w:rsidP="005155B4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napToGrid/>
              <w:ind w:left="396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396" w:right="59" w:hanging="283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napToGrid/>
              <w:ind w:left="396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396" w:right="59" w:hanging="252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Pr="006F0C19">
              <w:rPr>
                <w:bCs/>
                <w:sz w:val="20"/>
                <w:szCs w:val="20"/>
                <w:lang w:eastAsia="en-US"/>
              </w:rPr>
              <w:t>40 %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Ведение садоводства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13.2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Осуществление отдыха и (или) выращивания гражданами для собственных нужд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сельскохозяйственных культур;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400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2000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минимальное расстояние от границ 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-с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оседнего земельного участка до объекта индивидуального жилищного строительства – 3 м.</w:t>
            </w:r>
          </w:p>
          <w:p w:rsidR="005155B4" w:rsidRPr="006F0C19" w:rsidRDefault="005155B4" w:rsidP="005155B4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объекта индивидуального жилищного строительства – 3;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бани – 2;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вспомогательных построек (кроме бани) – 1;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индивидуального жилищного строительства – 20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бани – 8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вспомогательных построек (кроме бани) – 4 м.</w:t>
            </w:r>
          </w:p>
          <w:p w:rsidR="005155B4" w:rsidRPr="006F0C19" w:rsidRDefault="005155B4" w:rsidP="005155B4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30.</w:t>
            </w:r>
          </w:p>
          <w:p w:rsidR="005155B4" w:rsidRPr="006F0C19" w:rsidRDefault="005155B4" w:rsidP="005155B4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показатели: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tabs>
                <w:tab w:val="left" w:pos="428"/>
              </w:tabs>
              <w:suppressAutoHyphens w:val="0"/>
              <w:autoSpaceDE w:val="0"/>
              <w:autoSpaceDN w:val="0"/>
              <w:adjustRightInd w:val="0"/>
              <w:snapToGrid/>
              <w:ind w:left="478" w:right="59" w:hanging="425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максимальная высота ограждения земельного участка – 1,8 м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3.1.1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96" w:right="59" w:hanging="34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3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4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23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Минимальные отступы от границ земельного участка в </w:t>
            </w: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78" w:right="59" w:hanging="30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подлежат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23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22" w:right="59" w:hanging="30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23"/>
              </w:numPr>
              <w:tabs>
                <w:tab w:val="left" w:pos="337"/>
              </w:tabs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tabs>
                <w:tab w:val="left" w:pos="425"/>
              </w:tabs>
              <w:suppressAutoHyphens w:val="0"/>
              <w:autoSpaceDE w:val="0"/>
              <w:autoSpaceDN w:val="0"/>
              <w:adjustRightInd w:val="0"/>
              <w:snapToGrid/>
              <w:ind w:left="422" w:right="59" w:hanging="309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snapToGrid/>
              <w:ind w:left="22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 xml:space="preserve">Земельные участки (территории) 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12.0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397" w:right="59" w:hanging="284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30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подлежат установлению</w:t>
            </w:r>
            <w:r w:rsidRPr="006F0C19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Максимальная высота здания (этажность): 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30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309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EC57AC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5155B4" w:rsidRPr="006F0C19" w:rsidRDefault="005155B4" w:rsidP="00EC57AC">
            <w:pPr>
              <w:ind w:left="53" w:right="106"/>
              <w:jc w:val="center"/>
              <w:rPr>
                <w:b/>
                <w:sz w:val="20"/>
                <w:szCs w:val="20"/>
              </w:rPr>
            </w:pPr>
            <w:r w:rsidRPr="006F0C19">
              <w:rPr>
                <w:b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2.1.1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мансардный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);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многоквартирном доме не составляет более 15 %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400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100000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отступы от границ земельного участка до жилого дома – 3 м; 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отступы от красных линий улиц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5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красных линий проездов – 3 м.</w:t>
            </w:r>
          </w:p>
          <w:p w:rsidR="005155B4" w:rsidRPr="006F0C19" w:rsidRDefault="005155B4" w:rsidP="005155B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4;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– 20 м;</w:t>
            </w:r>
          </w:p>
          <w:p w:rsidR="005155B4" w:rsidRPr="006F0C19" w:rsidRDefault="005155B4" w:rsidP="005155B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60.</w:t>
            </w:r>
          </w:p>
          <w:p w:rsidR="005155B4" w:rsidRPr="006F0C19" w:rsidRDefault="005155B4" w:rsidP="005155B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показатели: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минимальный процент озеленения – 25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2.7.2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10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800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/>
              <w:ind w:left="482" w:right="59" w:hanging="369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подлежат установлению.</w:t>
            </w:r>
          </w:p>
          <w:p w:rsidR="005155B4" w:rsidRPr="006F0C19" w:rsidRDefault="005155B4" w:rsidP="005155B4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максимальное количество этажей объекта – 1.</w:t>
            </w:r>
          </w:p>
          <w:p w:rsidR="005155B4" w:rsidRPr="006F0C19" w:rsidRDefault="005155B4" w:rsidP="005155B4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Максимальный процент застройки земельного участка: </w:t>
            </w:r>
          </w:p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4" w:right="59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–  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3.2.1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  <w:r w:rsidRPr="006F0C19">
              <w:rPr>
                <w:sz w:val="20"/>
                <w:szCs w:val="20"/>
              </w:rPr>
              <w:t xml:space="preserve">некоммерческих фондов,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благотворительных</w:t>
            </w:r>
            <w:r w:rsidRPr="006F0C19">
              <w:rPr>
                <w:sz w:val="20"/>
                <w:szCs w:val="20"/>
              </w:rPr>
              <w:t xml:space="preserve"> организаций, клубов по интересам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3.4.1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5155B4" w:rsidRPr="006F0C19" w:rsidRDefault="005155B4" w:rsidP="005155B4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5"/>
              </w:numPr>
              <w:suppressAutoHyphens w:val="0"/>
              <w:snapToGrid/>
              <w:ind w:left="478" w:right="50" w:hanging="283"/>
              <w:jc w:val="left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3.5.1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физической</w:t>
            </w:r>
            <w:r w:rsidRPr="006F0C19">
              <w:rPr>
                <w:sz w:val="20"/>
                <w:szCs w:val="20"/>
              </w:rPr>
              <w:t xml:space="preserve"> культурой и спортом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10000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1000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минимальный отступ от красной линии – 10 м;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для объектов дошкольного образования – 2;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для объектов общеобразовательного назначения – 4;</w:t>
            </w:r>
          </w:p>
          <w:p w:rsidR="005155B4" w:rsidRPr="006F0C19" w:rsidRDefault="005155B4" w:rsidP="005155B4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3.6.1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6F0C19">
              <w:rPr>
                <w:sz w:val="20"/>
                <w:szCs w:val="20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планетариев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5000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5155B4" w:rsidRPr="006F0C19" w:rsidRDefault="005155B4" w:rsidP="005155B4">
            <w:pPr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227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3.7.1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sz w:val="20"/>
                <w:szCs w:val="20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церкви</w:t>
            </w:r>
            <w:r w:rsidRPr="006F0C19">
              <w:rPr>
                <w:sz w:val="20"/>
                <w:szCs w:val="20"/>
              </w:rPr>
              <w:t>, соборы, храмы, часовни, мечети, молельные дома, синагоги)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10000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максимальная высота объекта – 30 м.</w:t>
            </w:r>
          </w:p>
          <w:p w:rsidR="005155B4" w:rsidRPr="006F0C19" w:rsidRDefault="005155B4" w:rsidP="005155B4">
            <w:pPr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170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8.3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</w:t>
            </w:r>
            <w:r w:rsidRPr="006F0C19">
              <w:rPr>
                <w:sz w:val="20"/>
                <w:szCs w:val="20"/>
              </w:rPr>
              <w:lastRenderedPageBreak/>
              <w:t xml:space="preserve">внутренних дел, </w:t>
            </w:r>
            <w:proofErr w:type="spellStart"/>
            <w:r w:rsidRPr="006F0C19">
              <w:rPr>
                <w:sz w:val="20"/>
                <w:szCs w:val="20"/>
              </w:rPr>
              <w:t>Росгвардии</w:t>
            </w:r>
            <w:proofErr w:type="spellEnd"/>
            <w:r w:rsidRPr="006F0C19">
              <w:rPr>
                <w:sz w:val="20"/>
                <w:szCs w:val="20"/>
              </w:rPr>
              <w:t xml:space="preserve"> и спасательных служб, в которых существует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военизированная</w:t>
            </w:r>
            <w:r w:rsidRPr="006F0C19">
              <w:rPr>
                <w:sz w:val="20"/>
                <w:szCs w:val="20"/>
              </w:rPr>
              <w:t xml:space="preserve"> служба;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sz w:val="20"/>
                <w:szCs w:val="20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производственных</w:t>
            </w:r>
            <w:r w:rsidRPr="006F0C19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10000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5155B4" w:rsidRPr="006F0C19" w:rsidRDefault="005155B4" w:rsidP="005155B4">
            <w:pPr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Максимальная высота здания (этажность):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425"/>
              <w:rPr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3 этажа.</w:t>
            </w:r>
          </w:p>
          <w:p w:rsidR="005155B4" w:rsidRPr="006F0C19" w:rsidRDefault="005155B4" w:rsidP="005155B4">
            <w:pPr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napToGrid/>
              <w:ind w:left="478" w:right="59" w:hanging="425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170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Амбулаторное ветеринарное обслуживания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3.10.1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4000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500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2.</w:t>
            </w:r>
          </w:p>
          <w:p w:rsidR="005155B4" w:rsidRPr="006F0C19" w:rsidRDefault="005155B4" w:rsidP="005155B4">
            <w:pPr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70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170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4.6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2500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;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27" w:right="50" w:hanging="283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 – 80</w:t>
            </w:r>
          </w:p>
        </w:tc>
      </w:tr>
      <w:tr w:rsidR="005155B4" w:rsidRPr="006F0C19" w:rsidTr="00EC57AC">
        <w:trPr>
          <w:trHeight w:val="20"/>
        </w:trPr>
        <w:tc>
          <w:tcPr>
            <w:tcW w:w="245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napToGrid/>
              <w:ind w:left="170"/>
              <w:jc w:val="left"/>
              <w:rPr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FFFFFF"/>
          </w:tcPr>
          <w:p w:rsidR="005155B4" w:rsidRPr="006F0C19" w:rsidRDefault="005155B4" w:rsidP="00EC57AC">
            <w:pPr>
              <w:autoSpaceDE w:val="0"/>
              <w:autoSpaceDN w:val="0"/>
              <w:adjustRightInd w:val="0"/>
              <w:ind w:left="147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38" w:type="pct"/>
            <w:shd w:val="clear" w:color="auto" w:fill="FFFFFF"/>
          </w:tcPr>
          <w:p w:rsidR="005155B4" w:rsidRPr="006F0C19" w:rsidRDefault="005155B4" w:rsidP="00EC57AC">
            <w:pPr>
              <w:jc w:val="center"/>
              <w:rPr>
                <w:sz w:val="20"/>
                <w:szCs w:val="20"/>
              </w:rPr>
            </w:pPr>
            <w:r w:rsidRPr="006F0C19">
              <w:rPr>
                <w:sz w:val="20"/>
                <w:szCs w:val="20"/>
              </w:rPr>
              <w:t>4.7</w:t>
            </w:r>
          </w:p>
        </w:tc>
        <w:tc>
          <w:tcPr>
            <w:tcW w:w="127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napToGrid/>
              <w:ind w:left="442" w:right="5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Размещение гостиниц</w:t>
            </w:r>
          </w:p>
        </w:tc>
        <w:tc>
          <w:tcPr>
            <w:tcW w:w="1661" w:type="pct"/>
            <w:shd w:val="clear" w:color="auto" w:fill="FFFFFF"/>
          </w:tcPr>
          <w:p w:rsidR="005155B4" w:rsidRPr="006F0C19" w:rsidRDefault="005155B4" w:rsidP="005155B4">
            <w:pPr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Предельные размеры земельных участков: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минимальные размеры земельного участка – </w:t>
            </w: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br/>
              <w:t>200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максимальные размеры земельного участка – 2000 м</w:t>
            </w:r>
            <w:proofErr w:type="gramStart"/>
            <w:r w:rsidRPr="006F0C19"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5155B4" w:rsidRPr="006F0C19" w:rsidRDefault="005155B4" w:rsidP="005155B4">
            <w:pPr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5155B4" w:rsidRPr="006F0C19" w:rsidRDefault="005155B4" w:rsidP="005155B4">
            <w:pPr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:rsidR="005155B4" w:rsidRPr="006F0C19" w:rsidRDefault="005155B4" w:rsidP="005155B4">
            <w:pPr>
              <w:numPr>
                <w:ilvl w:val="0"/>
                <w:numId w:val="1"/>
              </w:numPr>
              <w:suppressAutoHyphens w:val="0"/>
              <w:snapToGrid/>
              <w:ind w:left="442" w:right="50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Cs/>
                <w:sz w:val="20"/>
                <w:szCs w:val="20"/>
                <w:lang w:eastAsia="en-US"/>
              </w:rPr>
              <w:t>максимальное количество этажей – 3.</w:t>
            </w:r>
          </w:p>
          <w:p w:rsidR="005155B4" w:rsidRPr="006F0C19" w:rsidRDefault="005155B4" w:rsidP="005155B4">
            <w:pPr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napToGrid/>
              <w:ind w:left="427" w:right="59" w:hanging="309"/>
              <w:contextualSpacing/>
              <w:jc w:val="lef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F0C1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Максимальный процент застройки земельного участка:</w:t>
            </w:r>
          </w:p>
          <w:p w:rsidR="005155B4" w:rsidRPr="006F0C19" w:rsidRDefault="005155B4" w:rsidP="005155B4">
            <w:pPr>
              <w:pStyle w:val="a3"/>
              <w:numPr>
                <w:ilvl w:val="0"/>
                <w:numId w:val="32"/>
              </w:numPr>
              <w:suppressAutoHyphens w:val="0"/>
              <w:autoSpaceDE w:val="0"/>
              <w:autoSpaceDN w:val="0"/>
              <w:adjustRightInd w:val="0"/>
              <w:snapToGrid/>
              <w:spacing w:line="276" w:lineRule="auto"/>
              <w:ind w:left="478" w:right="59" w:hanging="393"/>
              <w:rPr>
                <w:bCs/>
                <w:sz w:val="20"/>
                <w:szCs w:val="20"/>
                <w:lang w:eastAsia="en-US"/>
              </w:rPr>
            </w:pPr>
            <w:r w:rsidRPr="006F0C19">
              <w:rPr>
                <w:bCs/>
                <w:sz w:val="20"/>
                <w:szCs w:val="20"/>
                <w:lang w:eastAsia="en-US"/>
              </w:rPr>
              <w:t>не подлежит установлению</w:t>
            </w:r>
          </w:p>
        </w:tc>
      </w:tr>
    </w:tbl>
    <w:p w:rsidR="005155B4" w:rsidRPr="006F0C19" w:rsidRDefault="005155B4" w:rsidP="005155B4">
      <w:pPr>
        <w:pStyle w:val="ConsNormal"/>
        <w:spacing w:line="276" w:lineRule="auto"/>
        <w:ind w:right="0" w:firstLine="708"/>
        <w:jc w:val="right"/>
        <w:rPr>
          <w:rFonts w:ascii="Times New Roman" w:hAnsi="Times New Roman" w:cs="Times New Roman"/>
        </w:rPr>
      </w:pPr>
    </w:p>
    <w:p w:rsidR="005155B4" w:rsidRPr="006F0C19" w:rsidRDefault="005155B4" w:rsidP="005155B4">
      <w:pPr>
        <w:rPr>
          <w:sz w:val="20"/>
          <w:szCs w:val="20"/>
          <w:lang w:eastAsia="ru-RU"/>
        </w:rPr>
      </w:pPr>
    </w:p>
    <w:p w:rsidR="005155B4" w:rsidRPr="006F0C19" w:rsidRDefault="005155B4" w:rsidP="005155B4">
      <w:pPr>
        <w:rPr>
          <w:sz w:val="20"/>
          <w:szCs w:val="20"/>
          <w:lang w:eastAsia="ru-RU"/>
        </w:rPr>
        <w:sectPr w:rsidR="005155B4" w:rsidRPr="006F0C19" w:rsidSect="00B84088"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p w:rsidR="005155B4" w:rsidRPr="006F0C19" w:rsidRDefault="005155B4" w:rsidP="005155B4">
      <w:pPr>
        <w:pStyle w:val="ConsNormal"/>
        <w:spacing w:line="276" w:lineRule="auto"/>
        <w:ind w:right="0" w:firstLine="708"/>
        <w:jc w:val="right"/>
        <w:rPr>
          <w:rFonts w:ascii="Times New Roman" w:hAnsi="Times New Roman" w:cs="Times New Roman"/>
        </w:rPr>
      </w:pPr>
    </w:p>
    <w:p w:rsidR="005155B4" w:rsidRPr="006F0C19" w:rsidRDefault="005155B4" w:rsidP="005155B4">
      <w:pPr>
        <w:pStyle w:val="ConsNormal"/>
        <w:spacing w:line="276" w:lineRule="auto"/>
        <w:ind w:right="0" w:firstLine="708"/>
        <w:jc w:val="both"/>
        <w:rPr>
          <w:rFonts w:ascii="Times New Roman" w:hAnsi="Times New Roman" w:cs="Times New Roman"/>
        </w:rPr>
        <w:sectPr w:rsidR="005155B4" w:rsidRPr="006F0C19" w:rsidSect="00B84088"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bookmarkEnd w:id="62"/>
    <w:p w:rsidR="00562B35" w:rsidRPr="007405B1" w:rsidRDefault="00562B35">
      <w:pPr>
        <w:rPr>
          <w:szCs w:val="28"/>
        </w:rPr>
      </w:pPr>
    </w:p>
    <w:sectPr w:rsidR="00562B35" w:rsidRPr="0074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000C03D8"/>
    <w:lvl w:ilvl="0" w:tplc="C8AC235A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6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1">
    <w:nsid w:val="58B679C3"/>
    <w:multiLevelType w:val="hybridMultilevel"/>
    <w:tmpl w:val="1F1CBCD0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>
    <w:nsid w:val="5D4268A3"/>
    <w:multiLevelType w:val="hybridMultilevel"/>
    <w:tmpl w:val="1DFE03AA"/>
    <w:lvl w:ilvl="0" w:tplc="B204F376">
      <w:start w:val="1"/>
      <w:numFmt w:val="decimal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5652645"/>
    <w:multiLevelType w:val="hybridMultilevel"/>
    <w:tmpl w:val="3080165E"/>
    <w:lvl w:ilvl="0" w:tplc="FFFFFFF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>
    <w:nsid w:val="6D1D3B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2C53252"/>
    <w:multiLevelType w:val="hybridMultilevel"/>
    <w:tmpl w:val="221AA18A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9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8CB4F85"/>
    <w:multiLevelType w:val="hybridMultilevel"/>
    <w:tmpl w:val="DE4C9A7E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4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8"/>
  </w:num>
  <w:num w:numId="5">
    <w:abstractNumId w:val="23"/>
  </w:num>
  <w:num w:numId="6">
    <w:abstractNumId w:val="7"/>
  </w:num>
  <w:num w:numId="7">
    <w:abstractNumId w:val="10"/>
  </w:num>
  <w:num w:numId="8">
    <w:abstractNumId w:val="3"/>
  </w:num>
  <w:num w:numId="9">
    <w:abstractNumId w:val="17"/>
  </w:num>
  <w:num w:numId="10">
    <w:abstractNumId w:val="27"/>
  </w:num>
  <w:num w:numId="11">
    <w:abstractNumId w:val="14"/>
  </w:num>
  <w:num w:numId="12">
    <w:abstractNumId w:val="30"/>
  </w:num>
  <w:num w:numId="13">
    <w:abstractNumId w:val="12"/>
  </w:num>
  <w:num w:numId="14">
    <w:abstractNumId w:val="34"/>
  </w:num>
  <w:num w:numId="15">
    <w:abstractNumId w:val="6"/>
  </w:num>
  <w:num w:numId="16">
    <w:abstractNumId w:val="29"/>
  </w:num>
  <w:num w:numId="17">
    <w:abstractNumId w:val="11"/>
  </w:num>
  <w:num w:numId="18">
    <w:abstractNumId w:val="19"/>
  </w:num>
  <w:num w:numId="19">
    <w:abstractNumId w:val="25"/>
  </w:num>
  <w:num w:numId="20">
    <w:abstractNumId w:val="8"/>
  </w:num>
  <w:num w:numId="21">
    <w:abstractNumId w:val="15"/>
  </w:num>
  <w:num w:numId="22">
    <w:abstractNumId w:val="26"/>
  </w:num>
  <w:num w:numId="23">
    <w:abstractNumId w:val="0"/>
  </w:num>
  <w:num w:numId="24">
    <w:abstractNumId w:val="1"/>
  </w:num>
  <w:num w:numId="25">
    <w:abstractNumId w:val="2"/>
  </w:num>
  <w:num w:numId="26">
    <w:abstractNumId w:val="16"/>
  </w:num>
  <w:num w:numId="27">
    <w:abstractNumId w:val="32"/>
  </w:num>
  <w:num w:numId="28">
    <w:abstractNumId w:val="31"/>
  </w:num>
  <w:num w:numId="29">
    <w:abstractNumId w:val="28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8D"/>
    <w:rsid w:val="0026738D"/>
    <w:rsid w:val="005155B4"/>
    <w:rsid w:val="00562B35"/>
    <w:rsid w:val="006F0C19"/>
    <w:rsid w:val="0074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B4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5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155B4"/>
    <w:pPr>
      <w:keepNext/>
      <w:keepLines/>
      <w:spacing w:before="40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55B4"/>
    <w:rPr>
      <w:rFonts w:ascii="Times New Roman" w:eastAsia="Times New Roman" w:hAnsi="Times New Roman" w:cs="Times New Roman"/>
      <w:b/>
      <w:iCs/>
      <w:sz w:val="28"/>
      <w:lang w:eastAsia="ar-SA"/>
    </w:rPr>
  </w:style>
  <w:style w:type="paragraph" w:customStyle="1" w:styleId="ConsNormal">
    <w:name w:val="ConsNormal"/>
    <w:link w:val="ConsNormal0"/>
    <w:qFormat/>
    <w:rsid w:val="005155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5155B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List_Paragraph,Multilevel para_II,А,Абзац списка для документа,Список Нумерованны"/>
    <w:basedOn w:val="a"/>
    <w:link w:val="a4"/>
    <w:qFormat/>
    <w:rsid w:val="005155B4"/>
    <w:pPr>
      <w:ind w:left="720"/>
      <w:contextualSpacing/>
    </w:pPr>
  </w:style>
  <w:style w:type="character" w:customStyle="1" w:styleId="a4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А Знак"/>
    <w:link w:val="a3"/>
    <w:qFormat/>
    <w:locked/>
    <w:rsid w:val="005155B4"/>
    <w:rPr>
      <w:rFonts w:ascii="Times New Roman" w:eastAsia="Times New Roman" w:hAnsi="Times New Roman" w:cs="Times New Roman"/>
      <w:sz w:val="28"/>
      <w:lang w:eastAsia="ar-SA"/>
    </w:rPr>
  </w:style>
  <w:style w:type="character" w:styleId="a5">
    <w:name w:val="Emphasis"/>
    <w:basedOn w:val="a0"/>
    <w:uiPriority w:val="20"/>
    <w:qFormat/>
    <w:rsid w:val="005155B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405B1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B4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5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155B4"/>
    <w:pPr>
      <w:keepNext/>
      <w:keepLines/>
      <w:spacing w:before="40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55B4"/>
    <w:rPr>
      <w:rFonts w:ascii="Times New Roman" w:eastAsia="Times New Roman" w:hAnsi="Times New Roman" w:cs="Times New Roman"/>
      <w:b/>
      <w:iCs/>
      <w:sz w:val="28"/>
      <w:lang w:eastAsia="ar-SA"/>
    </w:rPr>
  </w:style>
  <w:style w:type="paragraph" w:customStyle="1" w:styleId="ConsNormal">
    <w:name w:val="ConsNormal"/>
    <w:link w:val="ConsNormal0"/>
    <w:qFormat/>
    <w:rsid w:val="005155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5155B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List_Paragraph,Multilevel para_II,А,Абзац списка для документа,Список Нумерованны"/>
    <w:basedOn w:val="a"/>
    <w:link w:val="a4"/>
    <w:qFormat/>
    <w:rsid w:val="005155B4"/>
    <w:pPr>
      <w:ind w:left="720"/>
      <w:contextualSpacing/>
    </w:pPr>
  </w:style>
  <w:style w:type="character" w:customStyle="1" w:styleId="a4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А Знак"/>
    <w:link w:val="a3"/>
    <w:qFormat/>
    <w:locked/>
    <w:rsid w:val="005155B4"/>
    <w:rPr>
      <w:rFonts w:ascii="Times New Roman" w:eastAsia="Times New Roman" w:hAnsi="Times New Roman" w:cs="Times New Roman"/>
      <w:sz w:val="28"/>
      <w:lang w:eastAsia="ar-SA"/>
    </w:rPr>
  </w:style>
  <w:style w:type="character" w:styleId="a5">
    <w:name w:val="Emphasis"/>
    <w:basedOn w:val="a0"/>
    <w:uiPriority w:val="20"/>
    <w:qFormat/>
    <w:rsid w:val="005155B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405B1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4847</Words>
  <Characters>27630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</cp:revision>
  <cp:lastPrinted>2025-02-11T08:46:00Z</cp:lastPrinted>
  <dcterms:created xsi:type="dcterms:W3CDTF">2025-02-11T08:38:00Z</dcterms:created>
  <dcterms:modified xsi:type="dcterms:W3CDTF">2025-02-12T11:00:00Z</dcterms:modified>
</cp:coreProperties>
</file>