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4B7" w:rsidRPr="00B404B7" w:rsidRDefault="00DA3CFD" w:rsidP="00B404B7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proofErr w:type="gramStart"/>
      <w:r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</w:t>
      </w:r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равил землепользования</w:t>
      </w:r>
      <w:bookmarkStart w:id="0" w:name="_Toc341881271"/>
      <w:bookmarkStart w:id="1" w:name="_Toc350253011"/>
      <w:bookmarkStart w:id="2" w:name="_Toc351475021"/>
      <w:bookmarkStart w:id="3" w:name="_Toc352110692"/>
      <w:bookmarkStart w:id="4" w:name="_Toc352238279"/>
      <w:bookmarkStart w:id="5" w:name="_Toc353367514"/>
      <w:bookmarkStart w:id="6" w:name="_Toc353368795"/>
      <w:bookmarkStart w:id="7" w:name="_Toc353885975"/>
      <w:bookmarkStart w:id="8" w:name="_Toc353974589"/>
      <w:bookmarkStart w:id="9" w:name="_Toc354055400"/>
      <w:bookmarkStart w:id="10" w:name="_Toc355775583"/>
      <w:bookmarkStart w:id="11" w:name="_Toc356379779"/>
      <w:bookmarkStart w:id="12" w:name="_Toc370737108"/>
      <w:bookmarkStart w:id="13" w:name="_Toc370737197"/>
      <w:bookmarkStart w:id="14" w:name="_Toc373398482"/>
      <w:bookmarkStart w:id="15" w:name="_Toc373398540"/>
      <w:bookmarkStart w:id="16" w:name="_Toc421109905"/>
      <w:bookmarkStart w:id="17" w:name="_Toc421120024"/>
      <w:bookmarkStart w:id="18" w:name="_Toc421120247"/>
      <w:bookmarkStart w:id="19" w:name="_Toc421528605"/>
      <w:bookmarkStart w:id="20" w:name="_Toc421627141"/>
      <w:bookmarkStart w:id="21" w:name="_Toc421632229"/>
      <w:bookmarkStart w:id="22" w:name="_Toc421635121"/>
      <w:bookmarkStart w:id="23" w:name="_Toc421707029"/>
      <w:bookmarkStart w:id="24" w:name="_Toc422237331"/>
      <w:bookmarkStart w:id="25" w:name="_Toc430272131"/>
      <w:bookmarkStart w:id="26" w:name="_Toc430882634"/>
      <w:bookmarkStart w:id="27" w:name="_Toc430883026"/>
      <w:bookmarkStart w:id="28" w:name="_Toc431225661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застройки</w:t>
      </w:r>
      <w:bookmarkStart w:id="29" w:name="_Toc370737109"/>
      <w:bookmarkStart w:id="30" w:name="_Toc370737198"/>
      <w:bookmarkStart w:id="31" w:name="_Toc373398483"/>
      <w:bookmarkStart w:id="32" w:name="_Toc373398541"/>
      <w:bookmarkStart w:id="33" w:name="_Toc421109906"/>
      <w:bookmarkStart w:id="34" w:name="_Toc421120025"/>
      <w:bookmarkStart w:id="35" w:name="_Toc421120248"/>
      <w:bookmarkStart w:id="36" w:name="_Toc421528606"/>
      <w:bookmarkStart w:id="37" w:name="_Toc421627142"/>
      <w:bookmarkStart w:id="38" w:name="_Toc421632230"/>
      <w:bookmarkStart w:id="39" w:name="_Toc421635122"/>
      <w:bookmarkStart w:id="40" w:name="_Toc421707030"/>
      <w:bookmarkStart w:id="41" w:name="_Toc422237332"/>
      <w:bookmarkStart w:id="42" w:name="_Toc430272132"/>
      <w:bookmarkStart w:id="43" w:name="_Toc430882635"/>
      <w:bookmarkStart w:id="44" w:name="_Toc430883027"/>
      <w:bookmarkStart w:id="45" w:name="_Toc431225662"/>
      <w:bookmarkStart w:id="46" w:name="_Toc352110694"/>
      <w:bookmarkStart w:id="47" w:name="_Toc352238281"/>
      <w:bookmarkStart w:id="48" w:name="_Toc353367516"/>
      <w:bookmarkStart w:id="49" w:name="_Toc353368797"/>
      <w:bookmarkStart w:id="50" w:name="_Toc353885977"/>
      <w:bookmarkStart w:id="51" w:name="_Toc353974591"/>
      <w:bookmarkStart w:id="52" w:name="_Toc354055402"/>
      <w:bookmarkStart w:id="53" w:name="_Toc355775585"/>
      <w:bookmarkStart w:id="54" w:name="_Toc35637978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bookmarkStart w:id="55" w:name="_Toc258228310"/>
      <w:bookmarkStart w:id="56" w:name="_Toc281221524"/>
      <w:bookmarkStart w:id="57" w:name="_Toc395282219"/>
      <w:bookmarkStart w:id="58" w:name="_Toc415145648"/>
      <w:bookmarkStart w:id="59" w:name="_Toc419817021"/>
      <w:bookmarkStart w:id="60" w:name="_Toc421022274"/>
      <w:bookmarkStart w:id="61" w:name="_Toc437520202"/>
      <w:bookmarkStart w:id="62" w:name="_Toc20828178"/>
      <w:bookmarkStart w:id="63" w:name="_Toc29644850"/>
      <w:bookmarkStart w:id="64" w:name="_Toc29650426"/>
      <w:bookmarkStart w:id="65" w:name="_Toc29650536"/>
      <w:bookmarkStart w:id="66" w:name="_Toc29651184"/>
      <w:bookmarkStart w:id="67" w:name="_Toc134774952"/>
      <w:bookmarkStart w:id="68" w:name="_Toc134800644"/>
      <w:bookmarkStart w:id="69" w:name="_Toc139027263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="00DC7AAE"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части территории Холмогорского муниципального округа Архангельской области, </w:t>
      </w:r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в границы которой входят территории деревень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Анашкино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Андрияновская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Белая Гора, Большое Залесье, Бор, Боярская,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Бушково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Вавчуга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Даниловская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Демидово,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Демушино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Жучково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Залыва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Заручевье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Ивлево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Ильино,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Кичижно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Косновская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Кочерино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Красное Село,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Кузополье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Лубянки,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Лыжино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Макарово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Малое Залесье,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Марково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Мироново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Митревщина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Неверово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Некрасово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Обухово, Осина Гора,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Пекишево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Перхуровская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, Побоище, Погост</w:t>
      </w:r>
      <w:proofErr w:type="gram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Подгорье,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Подсосны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Почапы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gram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Разлог</w:t>
      </w:r>
      <w:proofErr w:type="gram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Смольниковская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Спасская, Строительская, Сурово, Татаурово,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Телепниха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Тихновская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Третьяково,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Трехновская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Тряпицыно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Харитоново,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Ходчино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:rsidR="00DC7AAE" w:rsidRDefault="00B404B7" w:rsidP="00B404B7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и сел </w:t>
      </w:r>
      <w:proofErr w:type="spellStart"/>
      <w:r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Ломоносово</w:t>
      </w:r>
      <w:proofErr w:type="spellEnd"/>
      <w:r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Холмогоры</w:t>
      </w:r>
    </w:p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p w:rsidR="00B404B7" w:rsidRPr="00B404B7" w:rsidRDefault="00B404B7" w:rsidP="00D961BD">
      <w:pPr>
        <w:keepNext/>
        <w:widowControl w:val="0"/>
        <w:numPr>
          <w:ilvl w:val="2"/>
          <w:numId w:val="6"/>
        </w:numPr>
        <w:tabs>
          <w:tab w:val="left" w:pos="0"/>
        </w:tabs>
        <w:suppressAutoHyphens/>
        <w:snapToGrid w:val="0"/>
        <w:spacing w:before="240" w:after="24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04B7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разрешенный вид использования земельного участка или объекта капитального строительства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комиссию, указанную в части 5 статьи 7 настоящих Правил. 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</w:t>
      </w:r>
      <w:hyperlink r:id="rId8" w:anchor="/document/12184522/entry/0" w:history="1">
        <w:r w:rsidRPr="00B404B7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Федерального закона</w:t>
        </w:r>
      </w:hyperlink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апреля 2011 года № 63-ФЗ «Об электронной подписи» (далее – электронный документ, подписанный электронной подписью).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Градостроительным кодексом 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>, с учетом положений настоящих Правил.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5 статьи 7 настоящих Правил. 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заключения о результатах общественных обсуждений или публичных слушаний по проекту решения о предоставлении разрешения на 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условно разрешенный вид использования комиссия, указанная в части 5 статьи 7 настоящих Правил,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Округа.</w:t>
      </w:r>
      <w:proofErr w:type="gramEnd"/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основании рекомендаций, указанных в части 3 настоящей статьи, глава администрации Округа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Округа в информационно-телекоммуникационной сети «Интернет».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случае</w:t>
      </w:r>
      <w:proofErr w:type="gramStart"/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9" w:history="1">
        <w:r w:rsidRPr="00B404B7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сноса или приведения в соответствие с установленными требованиями, за исключением </w:t>
      </w:r>
      <w:proofErr w:type="gramStart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0" w:history="1">
        <w:r w:rsidRPr="00B404B7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</w:t>
      </w:r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усматривается либо вступило в законную силу решение суда об</w:t>
      </w:r>
      <w:proofErr w:type="gramEnd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>отказе</w:t>
      </w:r>
      <w:proofErr w:type="gramEnd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Деятельность администрации Округа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Округа.</w:t>
      </w:r>
    </w:p>
    <w:p w:rsidR="007D43FB" w:rsidRPr="007D43FB" w:rsidRDefault="007D43FB" w:rsidP="007D43FB">
      <w:pPr>
        <w:pStyle w:val="4"/>
        <w:keepLines w:val="0"/>
        <w:numPr>
          <w:ilvl w:val="2"/>
          <w:numId w:val="0"/>
        </w:numPr>
        <w:spacing w:before="240" w:after="240"/>
        <w:ind w:firstLine="709"/>
        <w:rPr>
          <w:sz w:val="28"/>
          <w:szCs w:val="28"/>
        </w:rPr>
      </w:pPr>
      <w:r w:rsidRPr="007D43FB">
        <w:rPr>
          <w:rFonts w:ascii="Times New Roman" w:hAnsi="Times New Roman"/>
          <w:i w:val="0"/>
          <w:iCs w:val="0"/>
          <w:color w:val="auto"/>
          <w:sz w:val="28"/>
          <w:szCs w:val="28"/>
        </w:rPr>
        <w:t>Статья 31.2. Р-2. Зона природно-ландшафтных территорий</w:t>
      </w:r>
    </w:p>
    <w:p w:rsidR="007D43FB" w:rsidRPr="007D43FB" w:rsidRDefault="007D43FB" w:rsidP="007D43FB">
      <w:pPr>
        <w:pStyle w:val="ConsNormal"/>
        <w:spacing w:line="276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3FB">
        <w:rPr>
          <w:rFonts w:ascii="Times New Roman" w:hAnsi="Times New Roman" w:cs="Times New Roman"/>
          <w:sz w:val="28"/>
          <w:szCs w:val="28"/>
        </w:rPr>
        <w:t>Виды разрешенного использования земельных участков и объектов капитального строительства зоны Р-2 представлены в таблице 2.11.</w:t>
      </w:r>
    </w:p>
    <w:p w:rsidR="007D43FB" w:rsidRPr="00E30D28" w:rsidRDefault="007D43FB" w:rsidP="007D43FB">
      <w:pPr>
        <w:pStyle w:val="ConsNormal"/>
        <w:spacing w:line="300" w:lineRule="auto"/>
        <w:ind w:right="0" w:firstLine="708"/>
        <w:jc w:val="both"/>
        <w:rPr>
          <w:rFonts w:ascii="Times New Roman" w:hAnsi="Times New Roman" w:cs="Times New Roman"/>
          <w:sz w:val="24"/>
          <w:szCs w:val="24"/>
        </w:rPr>
        <w:sectPr w:rsidR="007D43FB" w:rsidRPr="00E30D28" w:rsidSect="007D43FB">
          <w:pgSz w:w="11906" w:h="16838"/>
          <w:pgMar w:top="1134" w:right="567" w:bottom="1134" w:left="1418" w:header="567" w:footer="567" w:gutter="0"/>
          <w:cols w:space="708"/>
          <w:titlePg/>
          <w:docGrid w:linePitch="360"/>
        </w:sectPr>
      </w:pPr>
    </w:p>
    <w:p w:rsidR="007D43FB" w:rsidRPr="00E30D28" w:rsidRDefault="007D43FB" w:rsidP="007D43FB">
      <w:pPr>
        <w:pStyle w:val="ConsNormal"/>
        <w:spacing w:line="276" w:lineRule="auto"/>
        <w:ind w:right="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30D28">
        <w:rPr>
          <w:rFonts w:ascii="Times New Roman" w:hAnsi="Times New Roman" w:cs="Times New Roman"/>
          <w:sz w:val="24"/>
          <w:szCs w:val="24"/>
        </w:rPr>
        <w:lastRenderedPageBreak/>
        <w:t>Таблица 2.11</w:t>
      </w:r>
    </w:p>
    <w:p w:rsidR="007D43FB" w:rsidRPr="007D43FB" w:rsidRDefault="007D43FB" w:rsidP="007D43FB">
      <w:p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D43FB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строительства, в том числе предельные параметры разрешенного строительства, реконструкции объектов капитального строительства зоны Р-2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1933"/>
        <w:gridCol w:w="485"/>
        <w:gridCol w:w="3287"/>
        <w:gridCol w:w="3746"/>
      </w:tblGrid>
      <w:tr w:rsidR="007D43FB" w:rsidRPr="007D43FB" w:rsidTr="007D43FB">
        <w:trPr>
          <w:trHeight w:val="25"/>
          <w:jc w:val="center"/>
        </w:trPr>
        <w:tc>
          <w:tcPr>
            <w:tcW w:w="242" w:type="pct"/>
            <w:shd w:val="clear" w:color="auto" w:fill="FFFFFF"/>
            <w:vAlign w:val="center"/>
          </w:tcPr>
          <w:p w:rsidR="007D43FB" w:rsidRPr="007D43FB" w:rsidRDefault="007D43FB" w:rsidP="007D4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73" w:type="pct"/>
            <w:shd w:val="clear" w:color="auto" w:fill="FFFFFF"/>
            <w:vAlign w:val="center"/>
          </w:tcPr>
          <w:p w:rsidR="007D43FB" w:rsidRPr="007D43FB" w:rsidRDefault="007D43FB" w:rsidP="007D4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244" w:type="pct"/>
            <w:shd w:val="clear" w:color="auto" w:fill="FFFFFF"/>
            <w:vAlign w:val="center"/>
          </w:tcPr>
          <w:p w:rsidR="007D43FB" w:rsidRPr="007D43FB" w:rsidRDefault="007D43FB" w:rsidP="007D4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655" w:type="pct"/>
            <w:shd w:val="clear" w:color="auto" w:fill="FFFFFF"/>
            <w:vAlign w:val="center"/>
          </w:tcPr>
          <w:p w:rsidR="007D43FB" w:rsidRPr="007D43FB" w:rsidRDefault="007D43FB" w:rsidP="007D4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вида разрешенного использования земельного участка</w:t>
            </w:r>
          </w:p>
        </w:tc>
        <w:tc>
          <w:tcPr>
            <w:tcW w:w="1886" w:type="pct"/>
            <w:shd w:val="clear" w:color="auto" w:fill="FFFFFF"/>
            <w:vAlign w:val="center"/>
          </w:tcPr>
          <w:p w:rsidR="007D43FB" w:rsidRPr="007D43FB" w:rsidRDefault="007D43FB" w:rsidP="007D43FB">
            <w:pPr>
              <w:ind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7D43FB" w:rsidRPr="007D43FB" w:rsidRDefault="007D43FB" w:rsidP="007D43FB">
      <w:pPr>
        <w:pStyle w:val="ConsNormal"/>
        <w:spacing w:line="14" w:lineRule="auto"/>
        <w:ind w:right="0"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"/>
        <w:gridCol w:w="1931"/>
        <w:gridCol w:w="490"/>
        <w:gridCol w:w="3286"/>
        <w:gridCol w:w="3745"/>
      </w:tblGrid>
      <w:tr w:rsidR="007D43FB" w:rsidRPr="007D43FB" w:rsidTr="007D43FB">
        <w:trPr>
          <w:trHeight w:val="20"/>
          <w:tblHeader/>
        </w:trPr>
        <w:tc>
          <w:tcPr>
            <w:tcW w:w="242" w:type="pct"/>
            <w:shd w:val="clear" w:color="auto" w:fill="FFFFFF"/>
          </w:tcPr>
          <w:p w:rsidR="007D43FB" w:rsidRPr="007D43FB" w:rsidRDefault="007D43FB" w:rsidP="007D4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3" w:type="pct"/>
            <w:shd w:val="clear" w:color="auto" w:fill="FFFFFF"/>
          </w:tcPr>
          <w:p w:rsidR="007D43FB" w:rsidRPr="007D43FB" w:rsidRDefault="007D43FB" w:rsidP="007D4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4" w:type="pct"/>
            <w:shd w:val="clear" w:color="auto" w:fill="FFFFFF"/>
          </w:tcPr>
          <w:p w:rsidR="007D43FB" w:rsidRPr="007D43FB" w:rsidRDefault="007D43FB" w:rsidP="007D4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55" w:type="pct"/>
            <w:shd w:val="clear" w:color="auto" w:fill="FFFFFF"/>
          </w:tcPr>
          <w:p w:rsidR="007D43FB" w:rsidRPr="007D43FB" w:rsidRDefault="007D43FB" w:rsidP="007D4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86" w:type="pct"/>
            <w:shd w:val="clear" w:color="auto" w:fill="FFFFFF"/>
          </w:tcPr>
          <w:p w:rsidR="007D43FB" w:rsidRPr="007D43FB" w:rsidRDefault="007D43FB" w:rsidP="007D43FB">
            <w:pPr>
              <w:ind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D43FB" w:rsidRPr="007D43FB" w:rsidTr="007D43FB">
        <w:trPr>
          <w:trHeight w:val="20"/>
        </w:trPr>
        <w:tc>
          <w:tcPr>
            <w:tcW w:w="242" w:type="pct"/>
            <w:shd w:val="clear" w:color="auto" w:fill="FFFFFF"/>
          </w:tcPr>
          <w:p w:rsidR="007D43FB" w:rsidRPr="007D43FB" w:rsidRDefault="007D43FB" w:rsidP="007D4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58" w:type="pct"/>
            <w:gridSpan w:val="4"/>
            <w:shd w:val="clear" w:color="auto" w:fill="FFFFFF"/>
          </w:tcPr>
          <w:p w:rsidR="007D43FB" w:rsidRPr="007D43FB" w:rsidRDefault="007D43FB" w:rsidP="007D4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7D43FB" w:rsidRPr="007D43FB" w:rsidTr="007D43FB">
        <w:trPr>
          <w:trHeight w:val="20"/>
        </w:trPr>
        <w:tc>
          <w:tcPr>
            <w:tcW w:w="242" w:type="pct"/>
            <w:shd w:val="clear" w:color="auto" w:fill="FFFFFF"/>
          </w:tcPr>
          <w:p w:rsidR="007D43FB" w:rsidRPr="007D43FB" w:rsidRDefault="007D43FB" w:rsidP="007D43FB">
            <w:pPr>
              <w:pStyle w:val="aa"/>
              <w:numPr>
                <w:ilvl w:val="0"/>
                <w:numId w:val="37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73" w:type="pct"/>
            <w:shd w:val="clear" w:color="auto" w:fill="FFFFFF"/>
          </w:tcPr>
          <w:p w:rsidR="007D43FB" w:rsidRPr="007D43FB" w:rsidRDefault="007D43FB" w:rsidP="007D43FB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244" w:type="pct"/>
            <w:shd w:val="clear" w:color="auto" w:fill="FFFFFF"/>
          </w:tcPr>
          <w:p w:rsidR="007D43FB" w:rsidRPr="007D43FB" w:rsidRDefault="007D43FB" w:rsidP="007D43FB">
            <w:pPr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655" w:type="pct"/>
            <w:shd w:val="clear" w:color="auto" w:fill="FFFFFF"/>
          </w:tcPr>
          <w:p w:rsidR="007D43FB" w:rsidRPr="007D43FB" w:rsidRDefault="007D43FB" w:rsidP="007D43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7D43FB">
              <w:rPr>
                <w:rFonts w:ascii="Times New Roman" w:hAnsi="Times New Roman" w:cs="Times New Roman"/>
                <w:sz w:val="24"/>
                <w:szCs w:val="24"/>
              </w:rPr>
              <w:t>природовосстановительных</w:t>
            </w:r>
            <w:proofErr w:type="spellEnd"/>
            <w:r w:rsidRPr="007D43F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886" w:type="pct"/>
            <w:shd w:val="clear" w:color="auto" w:fill="FFFFFF"/>
          </w:tcPr>
          <w:p w:rsidR="007D43FB" w:rsidRPr="007D43FB" w:rsidRDefault="007D43FB" w:rsidP="007D43FB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Предельные размеры земельных участков:</w:t>
            </w:r>
          </w:p>
          <w:p w:rsidR="007D43FB" w:rsidRPr="007D43FB" w:rsidRDefault="007D43FB" w:rsidP="007D43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8" w:right="59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минимальные размеры земельного участка – 100 м</w:t>
            </w:r>
            <w:proofErr w:type="gramStart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7D43FB" w:rsidRPr="007D43FB" w:rsidRDefault="007D43FB" w:rsidP="007D43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6" w:right="59" w:hanging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максимальные размеры земельного участка – 10000 м</w:t>
            </w:r>
            <w:proofErr w:type="gramStart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D43FB" w:rsidRPr="007D43FB" w:rsidRDefault="007D43FB" w:rsidP="007D43FB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7D43FB" w:rsidRPr="007D43FB" w:rsidRDefault="007D43FB" w:rsidP="007D43F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- 5 м.</w:t>
            </w:r>
          </w:p>
          <w:p w:rsidR="007D43FB" w:rsidRPr="007D43FB" w:rsidRDefault="007D43FB" w:rsidP="007D43FB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Предельное количество этажей или предельная высота зданий, строений, сооружений:</w:t>
            </w:r>
          </w:p>
          <w:p w:rsidR="007D43FB" w:rsidRPr="007D43FB" w:rsidRDefault="007D43FB" w:rsidP="007D43F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максимальное количество этажей – 3.</w:t>
            </w:r>
          </w:p>
          <w:p w:rsidR="007D43FB" w:rsidRPr="007D43FB" w:rsidRDefault="007D43FB" w:rsidP="007D43FB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Максимальный процент застройки в границах земельного участка:</w:t>
            </w:r>
          </w:p>
          <w:p w:rsidR="007D43FB" w:rsidRPr="007D43FB" w:rsidRDefault="007D43FB" w:rsidP="007D43FB">
            <w:pPr>
              <w:autoSpaceDE w:val="0"/>
              <w:autoSpaceDN w:val="0"/>
              <w:adjustRightInd w:val="0"/>
              <w:ind w:left="425" w:right="59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максимальный процент застройки земельного участка – 50</w:t>
            </w:r>
          </w:p>
        </w:tc>
      </w:tr>
      <w:tr w:rsidR="007D43FB" w:rsidRPr="007D43FB" w:rsidTr="007D43FB">
        <w:trPr>
          <w:trHeight w:val="20"/>
        </w:trPr>
        <w:tc>
          <w:tcPr>
            <w:tcW w:w="242" w:type="pct"/>
            <w:shd w:val="clear" w:color="auto" w:fill="FFFFFF"/>
          </w:tcPr>
          <w:p w:rsidR="007D43FB" w:rsidRPr="007D43FB" w:rsidRDefault="007D43FB" w:rsidP="007D43FB">
            <w:pPr>
              <w:pStyle w:val="aa"/>
              <w:numPr>
                <w:ilvl w:val="0"/>
                <w:numId w:val="37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73" w:type="pct"/>
            <w:shd w:val="clear" w:color="auto" w:fill="FFFFFF"/>
          </w:tcPr>
          <w:p w:rsidR="007D43FB" w:rsidRPr="007D43FB" w:rsidRDefault="007D43FB" w:rsidP="007D43FB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sz w:val="24"/>
                <w:szCs w:val="24"/>
              </w:rPr>
              <w:t xml:space="preserve">Причалы для маломерных </w:t>
            </w:r>
            <w:r w:rsidRPr="007D4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судов</w:t>
            </w:r>
          </w:p>
        </w:tc>
        <w:tc>
          <w:tcPr>
            <w:tcW w:w="244" w:type="pct"/>
            <w:shd w:val="clear" w:color="auto" w:fill="FFFFFF"/>
          </w:tcPr>
          <w:p w:rsidR="007D43FB" w:rsidRPr="007D43FB" w:rsidRDefault="007D43FB" w:rsidP="007D43FB">
            <w:pPr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1655" w:type="pct"/>
            <w:shd w:val="clear" w:color="auto" w:fill="FFFFFF"/>
          </w:tcPr>
          <w:p w:rsidR="007D43FB" w:rsidRPr="007D43FB" w:rsidRDefault="007D43FB" w:rsidP="007D43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сооружений, предназначенных для причаливания, хранения и </w:t>
            </w:r>
            <w:r w:rsidRPr="007D4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обслуживания яхт, катеров, лодок и других маломерных судов</w:t>
            </w:r>
          </w:p>
        </w:tc>
        <w:tc>
          <w:tcPr>
            <w:tcW w:w="1886" w:type="pct"/>
            <w:shd w:val="clear" w:color="auto" w:fill="FFFFFF"/>
          </w:tcPr>
          <w:p w:rsidR="007D43FB" w:rsidRPr="007D43FB" w:rsidRDefault="007D43FB" w:rsidP="007D43FB">
            <w:pPr>
              <w:numPr>
                <w:ilvl w:val="0"/>
                <w:numId w:val="46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ind w:left="139" w:right="59" w:firstLine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Предельные размеры земельных участков:</w:t>
            </w:r>
          </w:p>
          <w:p w:rsidR="007D43FB" w:rsidRPr="007D43FB" w:rsidRDefault="007D43FB" w:rsidP="007D43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8" w:right="59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минимальные размеры 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земельного участка – 100 м</w:t>
            </w:r>
            <w:proofErr w:type="gramStart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7D43FB" w:rsidRPr="007D43FB" w:rsidRDefault="007D43FB" w:rsidP="007D43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6" w:right="59" w:hanging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максимальные размеры земельного участка – 5000 м</w:t>
            </w:r>
            <w:proofErr w:type="gramStart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D43FB" w:rsidRPr="007D43FB" w:rsidRDefault="007D43FB" w:rsidP="007D43FB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7D43FB" w:rsidRPr="007D43FB" w:rsidRDefault="007D43FB" w:rsidP="007D43F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- 5 м.</w:t>
            </w:r>
          </w:p>
          <w:p w:rsidR="007D43FB" w:rsidRPr="007D43FB" w:rsidRDefault="007D43FB" w:rsidP="007D43FB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Максимальная высота здания (этажность) – 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подлежит установлению.</w:t>
            </w:r>
          </w:p>
          <w:p w:rsidR="007D43FB" w:rsidRPr="007D43FB" w:rsidRDefault="007D43FB" w:rsidP="007D43FB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Максимальный процент застройки земельного участка – 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подлежит установлению</w:t>
            </w:r>
          </w:p>
        </w:tc>
      </w:tr>
      <w:tr w:rsidR="007D43FB" w:rsidRPr="007D43FB" w:rsidTr="007D43FB">
        <w:trPr>
          <w:trHeight w:val="20"/>
        </w:trPr>
        <w:tc>
          <w:tcPr>
            <w:tcW w:w="242" w:type="pct"/>
            <w:shd w:val="clear" w:color="auto" w:fill="FFFFFF"/>
          </w:tcPr>
          <w:p w:rsidR="007D43FB" w:rsidRPr="007D43FB" w:rsidRDefault="007D43FB" w:rsidP="007D43FB">
            <w:pPr>
              <w:pStyle w:val="aa"/>
              <w:numPr>
                <w:ilvl w:val="0"/>
                <w:numId w:val="37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73" w:type="pct"/>
            <w:shd w:val="clear" w:color="auto" w:fill="FFFFFF"/>
          </w:tcPr>
          <w:p w:rsidR="007D43FB" w:rsidRPr="007D43FB" w:rsidRDefault="007D43FB" w:rsidP="007D43FB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sz w:val="24"/>
                <w:szCs w:val="24"/>
              </w:rPr>
              <w:t>Охрана природных территорий</w:t>
            </w:r>
          </w:p>
        </w:tc>
        <w:tc>
          <w:tcPr>
            <w:tcW w:w="244" w:type="pct"/>
            <w:shd w:val="clear" w:color="auto" w:fill="FFFFFF"/>
          </w:tcPr>
          <w:p w:rsidR="007D43FB" w:rsidRPr="007D43FB" w:rsidRDefault="007D43FB" w:rsidP="007D43FB">
            <w:pPr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1655" w:type="pct"/>
            <w:shd w:val="clear" w:color="auto" w:fill="FFFFFF"/>
          </w:tcPr>
          <w:p w:rsidR="007D43FB" w:rsidRPr="007D43FB" w:rsidRDefault="007D43FB" w:rsidP="007D43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43FB">
              <w:rPr>
                <w:rFonts w:ascii="Times New Roman" w:hAnsi="Times New Roman" w:cs="Times New Roman"/>
                <w:sz w:val="24"/>
                <w:szCs w:val="24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  <w:tc>
          <w:tcPr>
            <w:tcW w:w="1886" w:type="pct"/>
            <w:shd w:val="clear" w:color="auto" w:fill="FFFFFF"/>
          </w:tcPr>
          <w:p w:rsidR="007D43FB" w:rsidRPr="007D43FB" w:rsidRDefault="007D43FB" w:rsidP="007D43FB">
            <w:pPr>
              <w:numPr>
                <w:ilvl w:val="0"/>
                <w:numId w:val="38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Предельные размеры земельных участков </w:t>
            </w:r>
          </w:p>
          <w:p w:rsidR="007D43FB" w:rsidRPr="007D43FB" w:rsidRDefault="007D43FB" w:rsidP="007D43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8" w:right="59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минимальные размеры земельного участка – 100 м</w:t>
            </w:r>
            <w:proofErr w:type="gramStart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7D43FB" w:rsidRPr="007D43FB" w:rsidRDefault="007D43FB" w:rsidP="007D43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8" w:right="59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максимальные размеры земельного участка – 10000 м</w:t>
            </w:r>
            <w:proofErr w:type="gramStart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D43FB" w:rsidRPr="007D43FB" w:rsidRDefault="007D43FB" w:rsidP="007D43FB">
            <w:pPr>
              <w:numPr>
                <w:ilvl w:val="0"/>
                <w:numId w:val="38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подлежат установлению</w:t>
            </w: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7D43FB" w:rsidRPr="007D43FB" w:rsidRDefault="007D43FB" w:rsidP="007D43FB">
            <w:pPr>
              <w:numPr>
                <w:ilvl w:val="0"/>
                <w:numId w:val="38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Максимальная высота здания (этажность) – 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подлежит установлению.</w:t>
            </w:r>
          </w:p>
          <w:p w:rsidR="007D43FB" w:rsidRPr="007D43FB" w:rsidRDefault="007D43FB" w:rsidP="007D43FB">
            <w:pPr>
              <w:numPr>
                <w:ilvl w:val="0"/>
                <w:numId w:val="38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Максимальный процент застройки земельного участка – 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подлежит установлению</w:t>
            </w:r>
          </w:p>
        </w:tc>
      </w:tr>
      <w:tr w:rsidR="007D43FB" w:rsidRPr="007D43FB" w:rsidTr="007D43FB">
        <w:trPr>
          <w:trHeight w:val="20"/>
        </w:trPr>
        <w:tc>
          <w:tcPr>
            <w:tcW w:w="242" w:type="pct"/>
            <w:shd w:val="clear" w:color="auto" w:fill="FFFFFF"/>
          </w:tcPr>
          <w:p w:rsidR="007D43FB" w:rsidRPr="007D43FB" w:rsidRDefault="007D43FB" w:rsidP="007D43FB">
            <w:pPr>
              <w:pStyle w:val="aa"/>
              <w:numPr>
                <w:ilvl w:val="0"/>
                <w:numId w:val="37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73" w:type="pct"/>
            <w:shd w:val="clear" w:color="auto" w:fill="FFFFFF"/>
          </w:tcPr>
          <w:p w:rsidR="007D43FB" w:rsidRPr="007D43FB" w:rsidRDefault="007D43FB" w:rsidP="007D43FB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244" w:type="pct"/>
            <w:shd w:val="clear" w:color="auto" w:fill="FFFFFF"/>
          </w:tcPr>
          <w:p w:rsidR="007D43FB" w:rsidRPr="007D43FB" w:rsidRDefault="007D43FB" w:rsidP="007D43FB">
            <w:pPr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1655" w:type="pct"/>
            <w:shd w:val="clear" w:color="auto" w:fill="FFFFFF"/>
          </w:tcPr>
          <w:p w:rsidR="007D43FB" w:rsidRPr="007D43FB" w:rsidRDefault="007D43FB" w:rsidP="007D43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43F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</w:t>
            </w:r>
            <w:r w:rsidRPr="007D4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886" w:type="pct"/>
            <w:shd w:val="clear" w:color="auto" w:fill="FFFFFF"/>
          </w:tcPr>
          <w:p w:rsidR="007D43FB" w:rsidRPr="007D43FB" w:rsidRDefault="007D43FB" w:rsidP="007D43FB">
            <w:pPr>
              <w:numPr>
                <w:ilvl w:val="0"/>
                <w:numId w:val="39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3" w:right="59" w:hanging="28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Предельные размеры земельных участков</w:t>
            </w:r>
          </w:p>
          <w:p w:rsidR="007D43FB" w:rsidRPr="007D43FB" w:rsidRDefault="007D43FB" w:rsidP="007D43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8" w:right="59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минимальные размеры земельного участка – 1000 м</w:t>
            </w:r>
            <w:proofErr w:type="gramStart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7D43FB" w:rsidRPr="007D43FB" w:rsidRDefault="007D43FB" w:rsidP="007D43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6" w:right="59" w:hanging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максимальные размеры земельного участка – 10000 м</w:t>
            </w:r>
            <w:proofErr w:type="gramStart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D43FB" w:rsidRPr="007D43FB" w:rsidRDefault="007D43FB" w:rsidP="007D43FB">
            <w:pPr>
              <w:numPr>
                <w:ilvl w:val="0"/>
                <w:numId w:val="39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5" w:right="59" w:hanging="28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Минимальные отступы от </w:t>
            </w: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границ земельного участка в целях определения места допустимого размещения объекта – 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подлежат установлению</w:t>
            </w: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7D43FB" w:rsidRPr="007D43FB" w:rsidRDefault="007D43FB" w:rsidP="007D43FB">
            <w:pPr>
              <w:numPr>
                <w:ilvl w:val="0"/>
                <w:numId w:val="39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5" w:right="59" w:hanging="28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Максимальная высота здания (этажность) – 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подлежит установлению.</w:t>
            </w:r>
          </w:p>
          <w:p w:rsidR="007D43FB" w:rsidRPr="007D43FB" w:rsidRDefault="007D43FB" w:rsidP="007D43FB">
            <w:pPr>
              <w:numPr>
                <w:ilvl w:val="0"/>
                <w:numId w:val="39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5" w:right="59" w:hanging="28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Максимальный процент застройки земельного участка – 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подлежит установлению</w:t>
            </w:r>
          </w:p>
        </w:tc>
      </w:tr>
      <w:tr w:rsidR="007D43FB" w:rsidRPr="007D43FB" w:rsidTr="007D43FB">
        <w:trPr>
          <w:trHeight w:val="20"/>
        </w:trPr>
        <w:tc>
          <w:tcPr>
            <w:tcW w:w="242" w:type="pct"/>
            <w:shd w:val="clear" w:color="auto" w:fill="FFFFFF"/>
          </w:tcPr>
          <w:p w:rsidR="007D43FB" w:rsidRPr="007D43FB" w:rsidRDefault="007D43FB" w:rsidP="007D43FB">
            <w:pPr>
              <w:pStyle w:val="aa"/>
              <w:numPr>
                <w:ilvl w:val="0"/>
                <w:numId w:val="37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73" w:type="pct"/>
            <w:shd w:val="clear" w:color="auto" w:fill="FFFFFF"/>
          </w:tcPr>
          <w:p w:rsidR="007D43FB" w:rsidRPr="007D43FB" w:rsidRDefault="007D43FB" w:rsidP="007D43FB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</w:t>
            </w:r>
            <w:bookmarkStart w:id="70" w:name="_GoBack"/>
            <w:bookmarkEnd w:id="70"/>
            <w:r w:rsidRPr="007D43FB">
              <w:rPr>
                <w:rFonts w:ascii="Times New Roman" w:hAnsi="Times New Roman" w:cs="Times New Roman"/>
                <w:sz w:val="24"/>
                <w:szCs w:val="24"/>
              </w:rPr>
              <w:t xml:space="preserve">льзования </w:t>
            </w:r>
          </w:p>
        </w:tc>
        <w:tc>
          <w:tcPr>
            <w:tcW w:w="244" w:type="pct"/>
            <w:shd w:val="clear" w:color="auto" w:fill="FFFFFF"/>
          </w:tcPr>
          <w:p w:rsidR="007D43FB" w:rsidRPr="007D43FB" w:rsidRDefault="007D43FB" w:rsidP="007D43FB">
            <w:pPr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1655" w:type="pct"/>
            <w:shd w:val="clear" w:color="auto" w:fill="FFFFFF"/>
          </w:tcPr>
          <w:p w:rsidR="007D43FB" w:rsidRPr="007D43FB" w:rsidRDefault="007D43FB" w:rsidP="007D43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– 12.0.2 Классификатора</w:t>
            </w:r>
          </w:p>
        </w:tc>
        <w:tc>
          <w:tcPr>
            <w:tcW w:w="1886" w:type="pct"/>
            <w:shd w:val="clear" w:color="auto" w:fill="FFFFFF"/>
          </w:tcPr>
          <w:p w:rsidR="007D43FB" w:rsidRPr="007D43FB" w:rsidRDefault="007D43FB" w:rsidP="007D43FB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Предельные размеры земельных участков </w:t>
            </w:r>
          </w:p>
          <w:p w:rsidR="007D43FB" w:rsidRPr="007D43FB" w:rsidRDefault="007D43FB" w:rsidP="007D43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подлежит установлению.</w:t>
            </w:r>
          </w:p>
          <w:p w:rsidR="007D43FB" w:rsidRPr="007D43FB" w:rsidRDefault="007D43FB" w:rsidP="007D43FB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подлежат установлению</w:t>
            </w: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7D43FB" w:rsidRPr="007D43FB" w:rsidRDefault="007D43FB" w:rsidP="007D43FB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Максимальная высота здания (этажность) – 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подлежит установлению.</w:t>
            </w:r>
          </w:p>
          <w:p w:rsidR="007D43FB" w:rsidRPr="007D43FB" w:rsidRDefault="007D43FB" w:rsidP="007D43FB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Максимальный процент застройки земельного участка – 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подлежит установлению</w:t>
            </w:r>
          </w:p>
        </w:tc>
      </w:tr>
      <w:tr w:rsidR="007D43FB" w:rsidRPr="007D43FB" w:rsidTr="007D43FB">
        <w:trPr>
          <w:trHeight w:val="20"/>
        </w:trPr>
        <w:tc>
          <w:tcPr>
            <w:tcW w:w="242" w:type="pct"/>
            <w:shd w:val="clear" w:color="auto" w:fill="FFFFFF"/>
          </w:tcPr>
          <w:p w:rsidR="007D43FB" w:rsidRPr="007D43FB" w:rsidRDefault="007D43FB" w:rsidP="007D43FB">
            <w:pPr>
              <w:pStyle w:val="aa"/>
              <w:numPr>
                <w:ilvl w:val="0"/>
                <w:numId w:val="41"/>
              </w:numPr>
              <w:suppressAutoHyphens w:val="0"/>
              <w:autoSpaceDE w:val="0"/>
              <w:autoSpaceDN w:val="0"/>
              <w:adjustRightInd w:val="0"/>
              <w:snapToGrid/>
              <w:jc w:val="left"/>
              <w:rPr>
                <w:sz w:val="24"/>
                <w:szCs w:val="24"/>
              </w:rPr>
            </w:pPr>
          </w:p>
        </w:tc>
        <w:tc>
          <w:tcPr>
            <w:tcW w:w="4758" w:type="pct"/>
            <w:gridSpan w:val="4"/>
            <w:shd w:val="clear" w:color="auto" w:fill="FFFFFF"/>
            <w:vAlign w:val="center"/>
          </w:tcPr>
          <w:p w:rsidR="007D43FB" w:rsidRPr="007D43FB" w:rsidRDefault="007D43FB" w:rsidP="007D43FB">
            <w:pPr>
              <w:tabs>
                <w:tab w:val="left" w:pos="425"/>
              </w:tabs>
              <w:autoSpaceDE w:val="0"/>
              <w:autoSpaceDN w:val="0"/>
              <w:adjustRightInd w:val="0"/>
              <w:ind w:right="59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Условно разрешенные виды использования </w:t>
            </w:r>
          </w:p>
        </w:tc>
      </w:tr>
      <w:tr w:rsidR="007D43FB" w:rsidRPr="007D43FB" w:rsidTr="007D43FB">
        <w:trPr>
          <w:trHeight w:val="20"/>
        </w:trPr>
        <w:tc>
          <w:tcPr>
            <w:tcW w:w="242" w:type="pct"/>
            <w:shd w:val="clear" w:color="auto" w:fill="FFFFFF"/>
          </w:tcPr>
          <w:p w:rsidR="007D43FB" w:rsidRPr="007D43FB" w:rsidRDefault="007D43FB" w:rsidP="007D43FB">
            <w:pPr>
              <w:pStyle w:val="aa"/>
              <w:numPr>
                <w:ilvl w:val="0"/>
                <w:numId w:val="42"/>
              </w:numPr>
              <w:suppressAutoHyphens w:val="0"/>
              <w:autoSpaceDE w:val="0"/>
              <w:autoSpaceDN w:val="0"/>
              <w:adjustRightInd w:val="0"/>
              <w:snapToGrid/>
              <w:spacing w:line="276" w:lineRule="auto"/>
              <w:ind w:left="227"/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pct"/>
            <w:shd w:val="clear" w:color="auto" w:fill="FFFFFF"/>
          </w:tcPr>
          <w:p w:rsidR="007D43FB" w:rsidRPr="007D43FB" w:rsidRDefault="007D43FB" w:rsidP="007D43FB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коммунальных услуг </w:t>
            </w:r>
          </w:p>
        </w:tc>
        <w:tc>
          <w:tcPr>
            <w:tcW w:w="244" w:type="pct"/>
            <w:shd w:val="clear" w:color="auto" w:fill="FFFFFF"/>
          </w:tcPr>
          <w:p w:rsidR="007D43FB" w:rsidRPr="007D43FB" w:rsidRDefault="007D43FB" w:rsidP="007D43FB">
            <w:pPr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1655" w:type="pct"/>
            <w:shd w:val="clear" w:color="auto" w:fill="FFFFFF"/>
          </w:tcPr>
          <w:p w:rsidR="007D43FB" w:rsidRPr="007D43FB" w:rsidRDefault="007D43FB" w:rsidP="007D43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7D43FB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</w:t>
            </w:r>
            <w:r w:rsidRPr="007D4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886" w:type="pct"/>
            <w:shd w:val="clear" w:color="auto" w:fill="FFFFFF"/>
          </w:tcPr>
          <w:p w:rsidR="007D43FB" w:rsidRPr="007D43FB" w:rsidRDefault="007D43FB" w:rsidP="007D43FB">
            <w:pPr>
              <w:numPr>
                <w:ilvl w:val="0"/>
                <w:numId w:val="43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Предельные размеры земельных участков – 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подлежит установлению.</w:t>
            </w:r>
          </w:p>
          <w:p w:rsidR="007D43FB" w:rsidRPr="007D43FB" w:rsidRDefault="007D43FB" w:rsidP="007D43FB">
            <w:pPr>
              <w:numPr>
                <w:ilvl w:val="0"/>
                <w:numId w:val="43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подлежат установлению</w:t>
            </w: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7D43FB" w:rsidRPr="007D43FB" w:rsidRDefault="007D43FB" w:rsidP="007D43FB">
            <w:pPr>
              <w:numPr>
                <w:ilvl w:val="0"/>
                <w:numId w:val="43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Максимальная высота здания (этажность) – 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подлежит установлению.</w:t>
            </w:r>
          </w:p>
          <w:p w:rsidR="007D43FB" w:rsidRPr="007D43FB" w:rsidRDefault="007D43FB" w:rsidP="007D43FB">
            <w:pPr>
              <w:numPr>
                <w:ilvl w:val="0"/>
                <w:numId w:val="43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Максимальный процент застройки земельного участка – 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подлежит установлению</w:t>
            </w:r>
          </w:p>
        </w:tc>
      </w:tr>
      <w:tr w:rsidR="007D43FB" w:rsidRPr="007D43FB" w:rsidTr="007D43FB">
        <w:trPr>
          <w:trHeight w:val="20"/>
        </w:trPr>
        <w:tc>
          <w:tcPr>
            <w:tcW w:w="242" w:type="pct"/>
            <w:shd w:val="clear" w:color="auto" w:fill="FFFFFF"/>
          </w:tcPr>
          <w:p w:rsidR="007D43FB" w:rsidRPr="007D43FB" w:rsidRDefault="007D43FB" w:rsidP="007D43FB">
            <w:pPr>
              <w:pStyle w:val="aa"/>
              <w:numPr>
                <w:ilvl w:val="0"/>
                <w:numId w:val="42"/>
              </w:numPr>
              <w:suppressAutoHyphens w:val="0"/>
              <w:autoSpaceDE w:val="0"/>
              <w:autoSpaceDN w:val="0"/>
              <w:adjustRightInd w:val="0"/>
              <w:snapToGrid/>
              <w:spacing w:line="276" w:lineRule="auto"/>
              <w:ind w:left="227"/>
              <w:jc w:val="left"/>
              <w:rPr>
                <w:sz w:val="24"/>
                <w:szCs w:val="24"/>
              </w:rPr>
            </w:pPr>
          </w:p>
        </w:tc>
        <w:tc>
          <w:tcPr>
            <w:tcW w:w="973" w:type="pct"/>
            <w:shd w:val="clear" w:color="auto" w:fill="FFFFFF"/>
          </w:tcPr>
          <w:p w:rsidR="007D43FB" w:rsidRPr="007D43FB" w:rsidRDefault="007D43FB" w:rsidP="007D43FB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sz w:val="24"/>
                <w:szCs w:val="24"/>
              </w:rPr>
              <w:t>Размещение гаражей для собственных нужд</w:t>
            </w:r>
          </w:p>
        </w:tc>
        <w:tc>
          <w:tcPr>
            <w:tcW w:w="244" w:type="pct"/>
            <w:shd w:val="clear" w:color="auto" w:fill="FFFFFF"/>
          </w:tcPr>
          <w:p w:rsidR="007D43FB" w:rsidRPr="007D43FB" w:rsidRDefault="007D43FB" w:rsidP="007D43FB">
            <w:pPr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sz w:val="24"/>
                <w:szCs w:val="24"/>
              </w:rPr>
              <w:t>2.7.2</w:t>
            </w:r>
          </w:p>
        </w:tc>
        <w:tc>
          <w:tcPr>
            <w:tcW w:w="1655" w:type="pct"/>
            <w:shd w:val="clear" w:color="auto" w:fill="FFFFFF"/>
          </w:tcPr>
          <w:p w:rsidR="007D43FB" w:rsidRPr="007D43FB" w:rsidRDefault="007D43FB" w:rsidP="007D43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sz w:val="24"/>
                <w:szCs w:val="24"/>
              </w:rPr>
              <w:t>Размещение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886" w:type="pct"/>
            <w:shd w:val="clear" w:color="auto" w:fill="FFFFFF"/>
          </w:tcPr>
          <w:p w:rsidR="007D43FB" w:rsidRPr="007D43FB" w:rsidRDefault="007D43FB" w:rsidP="007D43FB">
            <w:pPr>
              <w:numPr>
                <w:ilvl w:val="0"/>
                <w:numId w:val="44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139" w:right="59" w:firstLine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Предельные размеры земельных участков:</w:t>
            </w:r>
          </w:p>
          <w:p w:rsidR="007D43FB" w:rsidRPr="007D43FB" w:rsidRDefault="007D43FB" w:rsidP="007D43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минимальные размеры земельного участка – 10 м</w:t>
            </w:r>
            <w:proofErr w:type="gramStart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7D43FB" w:rsidRPr="007D43FB" w:rsidRDefault="007D43FB" w:rsidP="007D43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максимальные размеры земельного участка – 800 м</w:t>
            </w:r>
            <w:proofErr w:type="gramStart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7D43FB" w:rsidRPr="007D43FB" w:rsidRDefault="007D43FB" w:rsidP="007D43F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подлежат установлению;</w:t>
            </w:r>
          </w:p>
          <w:p w:rsidR="007D43FB" w:rsidRPr="007D43FB" w:rsidRDefault="007D43FB" w:rsidP="007D43F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Максимальная высота здания (этажность) –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максимальное количество этажей объекта - 1;</w:t>
            </w:r>
          </w:p>
          <w:p w:rsidR="007D43FB" w:rsidRPr="007D43FB" w:rsidRDefault="007D43FB" w:rsidP="007D43F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43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Максимальный процент застройки земельного участка – </w:t>
            </w:r>
            <w:r w:rsidRPr="007D43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подлежит установлению</w:t>
            </w:r>
          </w:p>
        </w:tc>
      </w:tr>
      <w:tr w:rsidR="007D43FB" w:rsidRPr="007D43FB" w:rsidTr="007D43FB">
        <w:trPr>
          <w:trHeight w:val="20"/>
        </w:trPr>
        <w:tc>
          <w:tcPr>
            <w:tcW w:w="242" w:type="pct"/>
            <w:shd w:val="clear" w:color="auto" w:fill="FFFFFF"/>
          </w:tcPr>
          <w:p w:rsidR="007D43FB" w:rsidRPr="007D43FB" w:rsidRDefault="007D43FB" w:rsidP="007D43FB">
            <w:pPr>
              <w:ind w:left="53" w:right="10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58" w:type="pct"/>
            <w:gridSpan w:val="4"/>
            <w:shd w:val="clear" w:color="auto" w:fill="FFFFFF"/>
          </w:tcPr>
          <w:p w:rsidR="007D43FB" w:rsidRPr="007D43FB" w:rsidRDefault="007D43FB" w:rsidP="007D43FB">
            <w:pPr>
              <w:ind w:left="53" w:right="10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3FB">
              <w:rPr>
                <w:rFonts w:ascii="Times New Roman" w:hAnsi="Times New Roman" w:cs="Times New Roman"/>
                <w:b/>
                <w:sz w:val="24"/>
                <w:szCs w:val="24"/>
              </w:rPr>
              <w:t>Вспомогательные виды разрешенного использования – не установлены</w:t>
            </w:r>
          </w:p>
        </w:tc>
      </w:tr>
    </w:tbl>
    <w:p w:rsidR="007D43FB" w:rsidRPr="007D43FB" w:rsidRDefault="007D43FB" w:rsidP="007D43FB">
      <w:pPr>
        <w:pStyle w:val="ConsNormal"/>
        <w:spacing w:line="300" w:lineRule="auto"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7AAE" w:rsidRPr="007D43FB" w:rsidRDefault="00DC7AAE" w:rsidP="00B13B9F">
      <w:pPr>
        <w:keepNext/>
        <w:numPr>
          <w:ilvl w:val="2"/>
          <w:numId w:val="0"/>
        </w:numPr>
        <w:spacing w:before="240" w:after="2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C7AAE" w:rsidRPr="007D43FB" w:rsidSect="00B13B9F">
      <w:headerReference w:type="first" r:id="rId11"/>
      <w:footerReference w:type="first" r:id="rId12"/>
      <w:pgSz w:w="11906" w:h="16838"/>
      <w:pgMar w:top="1134" w:right="567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3FB" w:rsidRDefault="007D43FB">
      <w:pPr>
        <w:spacing w:after="0" w:line="240" w:lineRule="auto"/>
      </w:pPr>
      <w:r>
        <w:separator/>
      </w:r>
    </w:p>
  </w:endnote>
  <w:endnote w:type="continuationSeparator" w:id="0">
    <w:p w:rsidR="007D43FB" w:rsidRDefault="007D4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3FB" w:rsidRDefault="007D43F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3FB" w:rsidRDefault="007D43FB">
      <w:pPr>
        <w:spacing w:after="0" w:line="240" w:lineRule="auto"/>
      </w:pPr>
      <w:r>
        <w:separator/>
      </w:r>
    </w:p>
  </w:footnote>
  <w:footnote w:type="continuationSeparator" w:id="0">
    <w:p w:rsidR="007D43FB" w:rsidRDefault="007D4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0736242"/>
      <w:docPartObj>
        <w:docPartGallery w:val="Page Numbers (Top of Page)"/>
        <w:docPartUnique/>
      </w:docPartObj>
    </w:sdtPr>
    <w:sdtContent>
      <w:p w:rsidR="007D43FB" w:rsidRPr="00D0306A" w:rsidRDefault="007D43FB" w:rsidP="007D43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DB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2232CB0"/>
    <w:multiLevelType w:val="hybridMultilevel"/>
    <w:tmpl w:val="8FAA0980"/>
    <w:lvl w:ilvl="0" w:tplc="FFFFFFF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">
    <w:nsid w:val="0296629A"/>
    <w:multiLevelType w:val="hybridMultilevel"/>
    <w:tmpl w:val="833401B2"/>
    <w:lvl w:ilvl="0" w:tplc="7706A62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">
    <w:nsid w:val="02DE2ED4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">
    <w:nsid w:val="054421C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5">
    <w:nsid w:val="0583295E"/>
    <w:multiLevelType w:val="hybridMultilevel"/>
    <w:tmpl w:val="67D0222C"/>
    <w:lvl w:ilvl="0" w:tplc="3AAC328E">
      <w:start w:val="1"/>
      <w:numFmt w:val="bullet"/>
      <w:lvlText w:val=""/>
      <w:lvlJc w:val="left"/>
      <w:pPr>
        <w:ind w:left="11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6">
    <w:nsid w:val="0D9A6F66"/>
    <w:multiLevelType w:val="hybridMultilevel"/>
    <w:tmpl w:val="F8D471BC"/>
    <w:lvl w:ilvl="0" w:tplc="04A461BA">
      <w:start w:val="1"/>
      <w:numFmt w:val="decimal"/>
      <w:lvlText w:val="2.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4751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8">
    <w:nsid w:val="0EC71937"/>
    <w:multiLevelType w:val="hybridMultilevel"/>
    <w:tmpl w:val="8E7A8A6E"/>
    <w:lvl w:ilvl="0" w:tplc="F872C2F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9">
    <w:nsid w:val="0F12696D"/>
    <w:multiLevelType w:val="hybridMultilevel"/>
    <w:tmpl w:val="9106F58C"/>
    <w:lvl w:ilvl="0" w:tplc="C8AC235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">
    <w:nsid w:val="14D03105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1">
    <w:nsid w:val="17FC5B2B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2">
    <w:nsid w:val="189E0E1F"/>
    <w:multiLevelType w:val="hybridMultilevel"/>
    <w:tmpl w:val="9F4A823A"/>
    <w:lvl w:ilvl="0" w:tplc="7E8AD31E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3">
    <w:nsid w:val="1B641454"/>
    <w:multiLevelType w:val="hybridMultilevel"/>
    <w:tmpl w:val="BECC2C40"/>
    <w:lvl w:ilvl="0" w:tplc="41CA37A2">
      <w:start w:val="1"/>
      <w:numFmt w:val="decimal"/>
      <w:lvlText w:val="2.%1"/>
      <w:lvlJc w:val="left"/>
      <w:pPr>
        <w:ind w:left="3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4">
    <w:nsid w:val="20A508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AFA750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">
    <w:nsid w:val="2C700E5C"/>
    <w:multiLevelType w:val="hybridMultilevel"/>
    <w:tmpl w:val="6EB81AA0"/>
    <w:lvl w:ilvl="0" w:tplc="C770CDC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">
    <w:nsid w:val="2E4F417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8">
    <w:nsid w:val="311A6B55"/>
    <w:multiLevelType w:val="hybridMultilevel"/>
    <w:tmpl w:val="45DC59AC"/>
    <w:lvl w:ilvl="0" w:tplc="FFFFFFFF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9">
    <w:nsid w:val="3806067E"/>
    <w:multiLevelType w:val="hybridMultilevel"/>
    <w:tmpl w:val="81FAFD98"/>
    <w:lvl w:ilvl="0" w:tplc="AE906E0E">
      <w:start w:val="2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0C36C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1">
    <w:nsid w:val="39B46C43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">
    <w:nsid w:val="3CA00AC2"/>
    <w:multiLevelType w:val="hybridMultilevel"/>
    <w:tmpl w:val="70E4458E"/>
    <w:lvl w:ilvl="0" w:tplc="63960468">
      <w:start w:val="1"/>
      <w:numFmt w:val="decimal"/>
      <w:lvlText w:val="3.%1.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3">
    <w:nsid w:val="3F2247FD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4">
    <w:nsid w:val="448553B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">
    <w:nsid w:val="4550444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6">
    <w:nsid w:val="476F251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7">
    <w:nsid w:val="49E174A2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8">
    <w:nsid w:val="4B292447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9">
    <w:nsid w:val="4D300263"/>
    <w:multiLevelType w:val="hybridMultilevel"/>
    <w:tmpl w:val="876A68C0"/>
    <w:lvl w:ilvl="0" w:tplc="174AC8C2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0">
    <w:nsid w:val="5E4841CD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1">
    <w:nsid w:val="688165D3"/>
    <w:multiLevelType w:val="hybridMultilevel"/>
    <w:tmpl w:val="8388850C"/>
    <w:lvl w:ilvl="0" w:tplc="F1C240E2">
      <w:start w:val="1"/>
      <w:numFmt w:val="decimal"/>
      <w:lvlText w:val="1.%1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2">
    <w:nsid w:val="6BFF726C"/>
    <w:multiLevelType w:val="hybridMultilevel"/>
    <w:tmpl w:val="05085928"/>
    <w:lvl w:ilvl="0" w:tplc="2D08F448">
      <w:start w:val="1"/>
      <w:numFmt w:val="decimal"/>
      <w:lvlText w:val="1.%1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3">
    <w:nsid w:val="6D5F1DD8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4">
    <w:nsid w:val="6F027EE4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">
    <w:nsid w:val="71244F20"/>
    <w:multiLevelType w:val="hybridMultilevel"/>
    <w:tmpl w:val="FDF44654"/>
    <w:lvl w:ilvl="0" w:tplc="FFFFFFFF">
      <w:start w:val="1"/>
      <w:numFmt w:val="decimal"/>
      <w:lvlText w:val="%1."/>
      <w:lvlJc w:val="lef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6">
    <w:nsid w:val="72462D0B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7">
    <w:nsid w:val="72C53252"/>
    <w:multiLevelType w:val="hybridMultilevel"/>
    <w:tmpl w:val="3D50B13E"/>
    <w:lvl w:ilvl="0" w:tplc="7944C034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8">
    <w:nsid w:val="744A1BE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9">
    <w:nsid w:val="780B011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0">
    <w:nsid w:val="780E0F2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1">
    <w:nsid w:val="78CB4F85"/>
    <w:multiLevelType w:val="hybridMultilevel"/>
    <w:tmpl w:val="8F007750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2">
    <w:nsid w:val="79045B75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3">
    <w:nsid w:val="7C326239"/>
    <w:multiLevelType w:val="hybridMultilevel"/>
    <w:tmpl w:val="219A57D2"/>
    <w:lvl w:ilvl="0" w:tplc="A9720FA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4">
    <w:nsid w:val="7D322C74"/>
    <w:multiLevelType w:val="hybridMultilevel"/>
    <w:tmpl w:val="93D4B514"/>
    <w:lvl w:ilvl="0" w:tplc="74288D7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5">
    <w:nsid w:val="7F69445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num w:numId="1">
    <w:abstractNumId w:val="9"/>
  </w:num>
  <w:num w:numId="2">
    <w:abstractNumId w:val="5"/>
  </w:num>
  <w:num w:numId="3">
    <w:abstractNumId w:val="41"/>
  </w:num>
  <w:num w:numId="4">
    <w:abstractNumId w:val="37"/>
  </w:num>
  <w:num w:numId="5">
    <w:abstractNumId w:val="35"/>
  </w:num>
  <w:num w:numId="6">
    <w:abstractNumId w:val="0"/>
  </w:num>
  <w:num w:numId="7">
    <w:abstractNumId w:val="23"/>
  </w:num>
  <w:num w:numId="8">
    <w:abstractNumId w:val="10"/>
  </w:num>
  <w:num w:numId="9">
    <w:abstractNumId w:val="28"/>
  </w:num>
  <w:num w:numId="10">
    <w:abstractNumId w:val="12"/>
  </w:num>
  <w:num w:numId="11">
    <w:abstractNumId w:val="17"/>
  </w:num>
  <w:num w:numId="12">
    <w:abstractNumId w:val="7"/>
  </w:num>
  <w:num w:numId="13">
    <w:abstractNumId w:val="27"/>
  </w:num>
  <w:num w:numId="14">
    <w:abstractNumId w:val="33"/>
  </w:num>
  <w:num w:numId="15">
    <w:abstractNumId w:val="24"/>
  </w:num>
  <w:num w:numId="16">
    <w:abstractNumId w:val="40"/>
  </w:num>
  <w:num w:numId="17">
    <w:abstractNumId w:val="21"/>
  </w:num>
  <w:num w:numId="18">
    <w:abstractNumId w:val="43"/>
  </w:num>
  <w:num w:numId="19">
    <w:abstractNumId w:val="11"/>
  </w:num>
  <w:num w:numId="20">
    <w:abstractNumId w:val="38"/>
  </w:num>
  <w:num w:numId="21">
    <w:abstractNumId w:val="20"/>
  </w:num>
  <w:num w:numId="22">
    <w:abstractNumId w:val="29"/>
  </w:num>
  <w:num w:numId="23">
    <w:abstractNumId w:val="44"/>
  </w:num>
  <w:num w:numId="24">
    <w:abstractNumId w:val="31"/>
  </w:num>
  <w:num w:numId="25">
    <w:abstractNumId w:val="13"/>
  </w:num>
  <w:num w:numId="26">
    <w:abstractNumId w:val="25"/>
  </w:num>
  <w:num w:numId="27">
    <w:abstractNumId w:val="2"/>
  </w:num>
  <w:num w:numId="28">
    <w:abstractNumId w:val="4"/>
  </w:num>
  <w:num w:numId="29">
    <w:abstractNumId w:val="26"/>
  </w:num>
  <w:num w:numId="30">
    <w:abstractNumId w:val="15"/>
  </w:num>
  <w:num w:numId="31">
    <w:abstractNumId w:val="30"/>
  </w:num>
  <w:num w:numId="32">
    <w:abstractNumId w:val="14"/>
  </w:num>
  <w:num w:numId="33">
    <w:abstractNumId w:val="45"/>
  </w:num>
  <w:num w:numId="34">
    <w:abstractNumId w:val="22"/>
  </w:num>
  <w:num w:numId="35">
    <w:abstractNumId w:val="42"/>
  </w:num>
  <w:num w:numId="36">
    <w:abstractNumId w:val="34"/>
  </w:num>
  <w:num w:numId="37">
    <w:abstractNumId w:val="32"/>
  </w:num>
  <w:num w:numId="38">
    <w:abstractNumId w:val="36"/>
  </w:num>
  <w:num w:numId="39">
    <w:abstractNumId w:val="16"/>
  </w:num>
  <w:num w:numId="40">
    <w:abstractNumId w:val="8"/>
  </w:num>
  <w:num w:numId="41">
    <w:abstractNumId w:val="19"/>
  </w:num>
  <w:num w:numId="42">
    <w:abstractNumId w:val="6"/>
  </w:num>
  <w:num w:numId="43">
    <w:abstractNumId w:val="18"/>
  </w:num>
  <w:num w:numId="44">
    <w:abstractNumId w:val="1"/>
  </w:num>
  <w:num w:numId="45">
    <w:abstractNumId w:val="39"/>
  </w:num>
  <w:num w:numId="46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070648"/>
    <w:rsid w:val="00186327"/>
    <w:rsid w:val="001E1C44"/>
    <w:rsid w:val="00497BA7"/>
    <w:rsid w:val="006F740A"/>
    <w:rsid w:val="00747DBF"/>
    <w:rsid w:val="007D43FB"/>
    <w:rsid w:val="008654A3"/>
    <w:rsid w:val="008F3364"/>
    <w:rsid w:val="00941D05"/>
    <w:rsid w:val="009B068B"/>
    <w:rsid w:val="00A65E8D"/>
    <w:rsid w:val="00A85E46"/>
    <w:rsid w:val="00B13B9F"/>
    <w:rsid w:val="00B404B7"/>
    <w:rsid w:val="00BA0909"/>
    <w:rsid w:val="00C41D15"/>
    <w:rsid w:val="00CC23DA"/>
    <w:rsid w:val="00D961BD"/>
    <w:rsid w:val="00DA3CFD"/>
    <w:rsid w:val="00DC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6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6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6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Normal">
    <w:name w:val="ConsNormal"/>
    <w:link w:val="ConsNormal0"/>
    <w:rsid w:val="007D43F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aliases w:val="Заголовок мой1,СписокСТПр,Абзац списка основной,List Paragraph2,ПАРАГРАФ,Нумерация,список 1,Абзац списка3,List Paragraph,Варианты ответов,СПИСКИ,маркированный,Заголовок_3,Абзац вправо-1,Абзац вправо-11,List Paragraph11,Абзац вправо-12,А"/>
    <w:basedOn w:val="a"/>
    <w:link w:val="ab"/>
    <w:uiPriority w:val="34"/>
    <w:qFormat/>
    <w:rsid w:val="007D43FB"/>
    <w:pPr>
      <w:suppressAutoHyphens/>
      <w:snapToGrid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ConsNormal0">
    <w:name w:val="ConsNormal Знак"/>
    <w:link w:val="ConsNormal"/>
    <w:locked/>
    <w:rsid w:val="007D43F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Абзац списка Знак"/>
    <w:aliases w:val="Заголовок мой1 Знак,СписокСТПр Знак,Абзац списка основной Знак,List Paragraph2 Знак,ПАРАГРАФ Знак,Нумерация Знак,список 1 Знак,Абзац списка3 Знак,List Paragraph Знак,Варианты ответов Знак,СПИСКИ Знак,маркированный Знак,Заголовок_3 Знак"/>
    <w:link w:val="aa"/>
    <w:uiPriority w:val="34"/>
    <w:qFormat/>
    <w:locked/>
    <w:rsid w:val="007D43FB"/>
    <w:rPr>
      <w:rFonts w:ascii="Times New Roman" w:eastAsia="Times New Roman" w:hAnsi="Times New Roman" w:cs="Times New Roman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6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6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6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Normal">
    <w:name w:val="ConsNormal"/>
    <w:link w:val="ConsNormal0"/>
    <w:rsid w:val="007D43F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aliases w:val="Заголовок мой1,СписокСТПр,Абзац списка основной,List Paragraph2,ПАРАГРАФ,Нумерация,список 1,Абзац списка3,List Paragraph,Варианты ответов,СПИСКИ,маркированный,Заголовок_3,Абзац вправо-1,Абзац вправо-11,List Paragraph11,Абзац вправо-12,А"/>
    <w:basedOn w:val="a"/>
    <w:link w:val="ab"/>
    <w:uiPriority w:val="34"/>
    <w:qFormat/>
    <w:rsid w:val="007D43FB"/>
    <w:pPr>
      <w:suppressAutoHyphens/>
      <w:snapToGrid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ConsNormal0">
    <w:name w:val="ConsNormal Знак"/>
    <w:link w:val="ConsNormal"/>
    <w:locked/>
    <w:rsid w:val="007D43F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Абзац списка Знак"/>
    <w:aliases w:val="Заголовок мой1 Знак,СписокСТПр Знак,Абзац списка основной Знак,List Paragraph2 Знак,ПАРАГРАФ Знак,Нумерация Знак,список 1 Знак,Абзац списка3 Знак,List Paragraph Знак,Варианты ответов Знак,СПИСКИ Знак,маркированный Знак,Заголовок_3 Знак"/>
    <w:link w:val="aa"/>
    <w:uiPriority w:val="34"/>
    <w:qFormat/>
    <w:locked/>
    <w:rsid w:val="007D43FB"/>
    <w:rPr>
      <w:rFonts w:ascii="Times New Roman" w:eastAsia="Times New Roman" w:hAnsi="Times New Roman" w:cs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</Pages>
  <Words>1841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13</cp:revision>
  <cp:lastPrinted>2025-04-22T07:51:00Z</cp:lastPrinted>
  <dcterms:created xsi:type="dcterms:W3CDTF">2020-08-31T11:38:00Z</dcterms:created>
  <dcterms:modified xsi:type="dcterms:W3CDTF">2025-04-22T08:28:00Z</dcterms:modified>
</cp:coreProperties>
</file>