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B7" w:rsidRPr="00B404B7" w:rsidRDefault="00DA3CFD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DC7AAE"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части территории Холмогорского муниципального округа Архангельской области, </w:t>
      </w:r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 границы которой входят территории деревень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Анашкино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Андрияновская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Белая Гора, Большое Залесье, Бор, Боярская,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Бушково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Вавчуга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Даниловская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Демидово,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Демушино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Жучково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Залыва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Заручевье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Ивлево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Ильино,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Кичижно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Косновская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Кочерино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Красное Село,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Кузополье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Лубянки,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Лыжино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Макарово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Малое Залесье,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Марково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Мироново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Митревщина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Некрасово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Обухово, Осина Гора,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Пекишево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Перхуровская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Побоище, Погост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Подгорье,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Подсосны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Почапы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gram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Разлог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Смольниковская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Спасская, Строительская, Сурово, Татаурово,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Телепниха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Тихновская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Третьяково,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Трехновская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Тряпицыно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Харитоново,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Ходчино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DC7AAE" w:rsidRDefault="00B404B7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и сел </w:t>
      </w:r>
      <w:proofErr w:type="spellStart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Ломоносово</w:t>
      </w:r>
      <w:proofErr w:type="spellEnd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Холмогоры</w:t>
      </w:r>
    </w:p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p w:rsidR="00B404B7" w:rsidRPr="00B404B7" w:rsidRDefault="00B404B7" w:rsidP="00855A9B">
      <w:pPr>
        <w:keepNext/>
        <w:widowControl w:val="0"/>
        <w:numPr>
          <w:ilvl w:val="2"/>
          <w:numId w:val="3"/>
        </w:numPr>
        <w:tabs>
          <w:tab w:val="left" w:pos="0"/>
        </w:tabs>
        <w:suppressAutoHyphens/>
        <w:snapToGrid w:val="0"/>
        <w:spacing w:before="24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04B7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8" w:anchor="/document/12184522/entry/0" w:history="1">
        <w:r w:rsidRPr="00B404B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администрации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указанных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hyperlink r:id="rId9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</w:t>
      </w:r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государственное учреждение или орган местного самоуправления, которые указаны в </w:t>
      </w:r>
      <w:hyperlink r:id="rId10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  <w:proofErr w:type="gramEnd"/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>Федерации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от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>которых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855A9B" w:rsidRDefault="00855A9B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A9B" w:rsidRPr="00E30D28" w:rsidRDefault="00855A9B" w:rsidP="00855A9B">
      <w:pPr>
        <w:pStyle w:val="4"/>
        <w:keepLines w:val="0"/>
        <w:numPr>
          <w:ilvl w:val="2"/>
          <w:numId w:val="0"/>
        </w:numPr>
        <w:spacing w:before="240" w:after="240"/>
        <w:ind w:firstLine="709"/>
        <w:rPr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E30D28">
        <w:rPr>
          <w:rFonts w:ascii="Times New Roman" w:hAnsi="Times New Roman"/>
          <w:i w:val="0"/>
          <w:iCs w:val="0"/>
          <w:color w:val="auto"/>
          <w:sz w:val="24"/>
          <w:szCs w:val="24"/>
        </w:rPr>
        <w:t>Статья 28.2. ОД-2. Многофункциональная общественно-деловая зона</w:t>
      </w:r>
    </w:p>
    <w:p w:rsidR="00855A9B" w:rsidRPr="00E30D28" w:rsidRDefault="00855A9B" w:rsidP="00855A9B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D28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</w:t>
      </w:r>
      <w:r w:rsidRPr="00E30D28">
        <w:rPr>
          <w:sz w:val="24"/>
          <w:szCs w:val="24"/>
        </w:rPr>
        <w:t xml:space="preserve"> </w:t>
      </w:r>
      <w:r w:rsidRPr="00E30D28">
        <w:rPr>
          <w:rFonts w:ascii="Times New Roman" w:hAnsi="Times New Roman" w:cs="Times New Roman"/>
          <w:sz w:val="24"/>
          <w:szCs w:val="24"/>
        </w:rPr>
        <w:t>зоны ОД-2 представлены в таблице 2.5.</w:t>
      </w:r>
    </w:p>
    <w:p w:rsidR="00855A9B" w:rsidRPr="00E30D28" w:rsidRDefault="00855A9B" w:rsidP="00855A9B">
      <w:pPr>
        <w:tabs>
          <w:tab w:val="left" w:pos="709"/>
          <w:tab w:val="left" w:pos="851"/>
        </w:tabs>
        <w:jc w:val="center"/>
        <w:rPr>
          <w:sz w:val="24"/>
          <w:szCs w:val="24"/>
        </w:rPr>
      </w:pPr>
      <w:bookmarkStart w:id="70" w:name="_GoBack"/>
      <w:r w:rsidRPr="00E30D28">
        <w:rPr>
          <w:sz w:val="24"/>
          <w:szCs w:val="24"/>
        </w:rPr>
        <w:t xml:space="preserve">Виды разрешенного использования земельных участков и объектов капитального строительства, в том числе предельные параметры </w:t>
      </w:r>
      <w:bookmarkEnd w:id="70"/>
      <w:r w:rsidRPr="00E30D28">
        <w:rPr>
          <w:sz w:val="24"/>
          <w:szCs w:val="24"/>
        </w:rPr>
        <w:t>разрешенного строительства, реконструкции объектов капитального строительства зоны ОД-2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3123"/>
        <w:gridCol w:w="851"/>
        <w:gridCol w:w="4400"/>
        <w:gridCol w:w="5500"/>
      </w:tblGrid>
      <w:tr w:rsidR="00855A9B" w:rsidRPr="00E30D28" w:rsidTr="00F9198A">
        <w:trPr>
          <w:trHeight w:val="25"/>
          <w:jc w:val="center"/>
        </w:trPr>
        <w:tc>
          <w:tcPr>
            <w:tcW w:w="242" w:type="pct"/>
            <w:shd w:val="clear" w:color="auto" w:fill="FFFFFF"/>
            <w:vAlign w:val="center"/>
          </w:tcPr>
          <w:p w:rsidR="00855A9B" w:rsidRPr="00E30D28" w:rsidRDefault="00855A9B" w:rsidP="00F9198A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№</w:t>
            </w:r>
          </w:p>
        </w:tc>
        <w:tc>
          <w:tcPr>
            <w:tcW w:w="1071" w:type="pct"/>
            <w:shd w:val="clear" w:color="auto" w:fill="FFFFFF"/>
            <w:vAlign w:val="center"/>
          </w:tcPr>
          <w:p w:rsidR="00855A9B" w:rsidRPr="00E30D28" w:rsidRDefault="00855A9B" w:rsidP="00F9198A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92" w:type="pct"/>
            <w:shd w:val="clear" w:color="auto" w:fill="FFFFFF"/>
            <w:vAlign w:val="center"/>
          </w:tcPr>
          <w:p w:rsidR="00855A9B" w:rsidRPr="00E30D28" w:rsidRDefault="00855A9B" w:rsidP="00F9198A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Код</w:t>
            </w:r>
          </w:p>
        </w:tc>
        <w:tc>
          <w:tcPr>
            <w:tcW w:w="1509" w:type="pct"/>
            <w:shd w:val="clear" w:color="auto" w:fill="FFFFFF"/>
            <w:vAlign w:val="center"/>
          </w:tcPr>
          <w:p w:rsidR="00855A9B" w:rsidRPr="00E30D28" w:rsidRDefault="00855A9B" w:rsidP="00F9198A">
            <w:pPr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86" w:type="pct"/>
            <w:shd w:val="clear" w:color="auto" w:fill="FFFFFF"/>
            <w:vAlign w:val="center"/>
          </w:tcPr>
          <w:p w:rsidR="00855A9B" w:rsidRPr="00E30D28" w:rsidRDefault="00855A9B" w:rsidP="00F9198A">
            <w:pPr>
              <w:ind w:firstLine="2"/>
              <w:jc w:val="center"/>
              <w:rPr>
                <w:b/>
                <w:sz w:val="20"/>
              </w:rPr>
            </w:pPr>
            <w:r w:rsidRPr="00E30D28">
              <w:rPr>
                <w:b/>
                <w:sz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855A9B" w:rsidRPr="00E30D28" w:rsidRDefault="00855A9B" w:rsidP="00855A9B">
      <w:pPr>
        <w:tabs>
          <w:tab w:val="left" w:pos="709"/>
          <w:tab w:val="left" w:pos="851"/>
        </w:tabs>
        <w:spacing w:line="14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3114"/>
        <w:gridCol w:w="849"/>
        <w:gridCol w:w="4412"/>
        <w:gridCol w:w="5500"/>
      </w:tblGrid>
      <w:tr w:rsidR="00855A9B" w:rsidRPr="00E30D28" w:rsidTr="00F9198A">
        <w:trPr>
          <w:trHeight w:val="20"/>
          <w:tblHeader/>
        </w:trPr>
        <w:tc>
          <w:tcPr>
            <w:tcW w:w="242" w:type="pct"/>
            <w:shd w:val="clear" w:color="auto" w:fill="FFFFFF"/>
          </w:tcPr>
          <w:p w:rsidR="00855A9B" w:rsidRPr="00E30D28" w:rsidRDefault="00855A9B" w:rsidP="00F9198A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F9198A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F9198A">
            <w:pPr>
              <w:ind w:firstLine="2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5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F9198A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855A9B" w:rsidRPr="00E30D28" w:rsidRDefault="00855A9B" w:rsidP="00F9198A">
            <w:pPr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4.1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proofErr w:type="gramStart"/>
            <w:r w:rsidRPr="00E30D28">
              <w:rPr>
                <w:sz w:val="20"/>
                <w:szCs w:val="20"/>
                <w:lang w:eastAsia="ru-RU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4.2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объектов капитального строительства, общей площадью свыше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 xml:space="preserve">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1" w:history="1">
              <w:r w:rsidRPr="00E30D28">
                <w:rPr>
                  <w:rFonts w:eastAsia="Calibri"/>
                  <w:bCs/>
                  <w:sz w:val="20"/>
                  <w:szCs w:val="20"/>
                </w:rPr>
                <w:t>кодами 4.5</w:t>
              </w:r>
            </w:hyperlink>
            <w:r w:rsidRPr="00E30D28">
              <w:rPr>
                <w:rFonts w:eastAsia="Calibri"/>
                <w:bCs/>
                <w:sz w:val="20"/>
                <w:szCs w:val="20"/>
              </w:rPr>
              <w:t xml:space="preserve">, 4.6, 4.8 – </w:t>
            </w:r>
            <w:hyperlink r:id="rId12" w:history="1">
              <w:r w:rsidRPr="00E30D28">
                <w:rPr>
                  <w:rFonts w:eastAsia="Calibri"/>
                  <w:bCs/>
                  <w:sz w:val="20"/>
                  <w:szCs w:val="20"/>
                </w:rPr>
                <w:t>4.8.2</w:t>
              </w:r>
            </w:hyperlink>
            <w:r w:rsidRPr="00E30D28">
              <w:rPr>
                <w:rFonts w:eastAsia="Calibri"/>
                <w:bCs/>
                <w:sz w:val="20"/>
                <w:szCs w:val="20"/>
              </w:rPr>
              <w:t xml:space="preserve"> Классификатора;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200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Рынки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4.3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гаражей и (или) стоянок для автомобилей сотрудников и посетителей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рынка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78" w:hanging="335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600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78" w:hanging="335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b/>
                <w:bCs/>
                <w:sz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Магазины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4.4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кв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3" w:right="59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200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bCs/>
                <w:sz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4.5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</w:t>
            </w:r>
            <w:r w:rsidRPr="00E30D28">
              <w:rPr>
                <w:sz w:val="20"/>
                <w:szCs w:val="20"/>
              </w:rPr>
              <w:t>услуги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2"/>
              </w:numPr>
              <w:tabs>
                <w:tab w:val="left" w:pos="431"/>
              </w:tabs>
              <w:autoSpaceDE w:val="0"/>
              <w:autoSpaceDN w:val="0"/>
              <w:adjustRightInd w:val="0"/>
              <w:spacing w:after="0" w:line="240" w:lineRule="auto"/>
              <w:ind w:right="59" w:hanging="102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для объектов административно-делового назначения минимальные размеры земельного участка – 700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2000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4.6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4.7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55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 xml:space="preserve"> на </w:t>
            </w:r>
            <w:r w:rsidRPr="00E30D28">
              <w:rPr>
                <w:rFonts w:eastAsia="Calibri"/>
                <w:bCs/>
                <w:sz w:val="20"/>
                <w:szCs w:val="20"/>
              </w:rPr>
              <w:br/>
              <w:t>1 место;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земельного участка –</w:t>
            </w:r>
            <w:r w:rsidRPr="00E30D28">
              <w:rPr>
                <w:rFonts w:eastAsia="Calibri"/>
                <w:bCs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4.8.1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Размещение зданий и сооружений, предназначенных для организации </w:t>
            </w:r>
            <w:r w:rsidRPr="00E30D28">
              <w:rPr>
                <w:sz w:val="20"/>
                <w:szCs w:val="20"/>
              </w:rPr>
              <w:lastRenderedPageBreak/>
              <w:t xml:space="preserve">развлекательных мероприятий, путешествий, для размещения дискотек и танцевальных площадок, ночных клубов, аквапарков, боулинга, аттракционов и т.п., </w:t>
            </w:r>
            <w:r w:rsidRPr="00E30D28">
              <w:rPr>
                <w:rFonts w:eastAsia="Calibri"/>
                <w:bCs/>
                <w:sz w:val="20"/>
                <w:szCs w:val="20"/>
              </w:rPr>
              <w:t>игровых</w:t>
            </w:r>
            <w:r w:rsidRPr="00E30D28">
              <w:rPr>
                <w:sz w:val="20"/>
                <w:szCs w:val="20"/>
              </w:rPr>
              <w:t xml:space="preserve">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proofErr w:type="spellStart"/>
            <w:r w:rsidRPr="00E30D28">
              <w:rPr>
                <w:sz w:val="20"/>
                <w:szCs w:val="20"/>
              </w:rPr>
              <w:t>Выставочно</w:t>
            </w:r>
            <w:proofErr w:type="spellEnd"/>
            <w:r w:rsidRPr="00E30D28">
              <w:rPr>
                <w:sz w:val="20"/>
                <w:szCs w:val="20"/>
              </w:rPr>
              <w:t>-ярмарочная деятельность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4.10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выставочно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 xml:space="preserve">-ярмарочной и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конгрессной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5.1.2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границ земельного участка в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3.</w:t>
            </w:r>
          </w:p>
          <w:p w:rsidR="00855A9B" w:rsidRPr="00E30D28" w:rsidRDefault="00855A9B" w:rsidP="00855A9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sz w:val="20"/>
                <w:szCs w:val="20"/>
              </w:rPr>
            </w:pPr>
            <w:r w:rsidRPr="00E30D28">
              <w:rPr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Коммунальное обслуживание 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3.1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history="1">
              <w:r w:rsidRPr="00E30D28">
                <w:rPr>
                  <w:rFonts w:eastAsia="Calibri"/>
                  <w:bCs/>
                  <w:sz w:val="20"/>
                  <w:szCs w:val="20"/>
                </w:rPr>
                <w:t>кодами 3.1.1</w:t>
              </w:r>
            </w:hyperlink>
            <w:r w:rsidRPr="00E30D28">
              <w:rPr>
                <w:rFonts w:eastAsia="Calibri"/>
                <w:bCs/>
                <w:sz w:val="20"/>
                <w:szCs w:val="20"/>
              </w:rPr>
              <w:t xml:space="preserve"> – </w:t>
            </w:r>
            <w:hyperlink r:id="rId14" w:history="1">
              <w:r w:rsidRPr="00E30D28">
                <w:rPr>
                  <w:rFonts w:eastAsia="Calibri"/>
                  <w:bCs/>
                  <w:sz w:val="20"/>
                  <w:szCs w:val="20"/>
                </w:rPr>
                <w:t>3.1.2</w:t>
              </w:r>
            </w:hyperlink>
            <w:r w:rsidRPr="00E30D28">
              <w:rPr>
                <w:rFonts w:eastAsia="Calibri"/>
                <w:bCs/>
                <w:sz w:val="20"/>
                <w:szCs w:val="20"/>
              </w:rPr>
              <w:t xml:space="preserve"> Классификатора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3" w:right="59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Предельные размеры земельных участков 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установлению.</w:t>
            </w:r>
          </w:p>
          <w:p w:rsidR="00855A9B" w:rsidRPr="00E30D28" w:rsidRDefault="00855A9B" w:rsidP="00855A9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установлению;</w:t>
            </w:r>
          </w:p>
          <w:p w:rsidR="00855A9B" w:rsidRPr="00E30D28" w:rsidRDefault="00855A9B" w:rsidP="00855A9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установлению;</w:t>
            </w:r>
          </w:p>
          <w:p w:rsidR="00855A9B" w:rsidRPr="00E30D28" w:rsidRDefault="00855A9B" w:rsidP="00855A9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8.3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30D28">
              <w:rPr>
                <w:rFonts w:eastAsia="Calibri"/>
                <w:bCs/>
                <w:sz w:val="20"/>
                <w:szCs w:val="20"/>
              </w:rPr>
              <w:t>Росгвардии</w:t>
            </w:r>
            <w:proofErr w:type="spellEnd"/>
            <w:r w:rsidRPr="00E30D28">
              <w:rPr>
                <w:rFonts w:eastAsia="Calibri"/>
                <w:bCs/>
                <w:sz w:val="20"/>
                <w:szCs w:val="20"/>
              </w:rPr>
              <w:t xml:space="preserve"> и спасательных служб, в которых существует военизированная служба;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Предельные</w:t>
            </w: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855A9B" w:rsidRPr="00E30D28" w:rsidRDefault="00855A9B" w:rsidP="00855A9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855A9B" w:rsidRPr="00E30D28" w:rsidRDefault="00855A9B" w:rsidP="00855A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78" w:right="59" w:hanging="425"/>
              <w:contextualSpacing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установлению.</w:t>
            </w:r>
          </w:p>
          <w:p w:rsidR="00855A9B" w:rsidRPr="00E30D28" w:rsidRDefault="00855A9B" w:rsidP="00855A9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855A9B" w:rsidRPr="00E30D28" w:rsidRDefault="00855A9B" w:rsidP="00F9198A">
            <w:pPr>
              <w:autoSpaceDE w:val="0"/>
              <w:autoSpaceDN w:val="0"/>
              <w:adjustRightInd w:val="0"/>
              <w:ind w:left="427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bCs/>
                <w:sz w:val="20"/>
              </w:rPr>
              <w:t xml:space="preserve">не </w:t>
            </w:r>
            <w:r w:rsidRPr="00E30D28">
              <w:rPr>
                <w:rFonts w:eastAsia="Calibri"/>
                <w:bCs/>
                <w:sz w:val="20"/>
                <w:szCs w:val="20"/>
              </w:rPr>
              <w:t>подлежит</w:t>
            </w:r>
            <w:r w:rsidRPr="00E30D28">
              <w:rPr>
                <w:bCs/>
                <w:sz w:val="20"/>
              </w:rPr>
              <w:t xml:space="preserve"> </w:t>
            </w:r>
            <w:r w:rsidRPr="00E30D28">
              <w:rPr>
                <w:rFonts w:eastAsia="Calibri"/>
                <w:bCs/>
                <w:sz w:val="20"/>
                <w:szCs w:val="20"/>
              </w:rPr>
              <w:t>установлению</w:t>
            </w:r>
            <w:r w:rsidRPr="00E30D28">
              <w:rPr>
                <w:bCs/>
                <w:sz w:val="20"/>
              </w:rPr>
              <w:t>.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170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 xml:space="preserve">Земельные участки (территории) общего пользования 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12.0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 Классификатора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5" w:right="59" w:hanging="284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установлению.</w:t>
            </w:r>
          </w:p>
          <w:p w:rsidR="00855A9B" w:rsidRPr="00E30D28" w:rsidRDefault="00855A9B" w:rsidP="00855A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подлежат установлению</w:t>
            </w:r>
            <w:r w:rsidRPr="00E30D28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E30D28">
              <w:rPr>
                <w:rFonts w:eastAsia="Calibri"/>
                <w:bCs/>
                <w:sz w:val="20"/>
                <w:szCs w:val="20"/>
              </w:rPr>
              <w:t xml:space="preserve">не подлежит </w:t>
            </w:r>
            <w:r w:rsidRPr="00E30D28">
              <w:rPr>
                <w:rFonts w:eastAsia="Calibri"/>
                <w:bCs/>
                <w:sz w:val="20"/>
                <w:szCs w:val="20"/>
              </w:rPr>
              <w:lastRenderedPageBreak/>
              <w:t>установлению.</w:t>
            </w:r>
          </w:p>
          <w:p w:rsidR="00855A9B" w:rsidRPr="00E30D28" w:rsidRDefault="00855A9B" w:rsidP="00855A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F9198A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855A9B" w:rsidRPr="00E30D28" w:rsidRDefault="00855A9B" w:rsidP="00F9198A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2.1.1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</w:t>
            </w:r>
            <w:r w:rsidRPr="00E30D28">
              <w:rPr>
                <w:rFonts w:eastAsia="Calibri"/>
                <w:bCs/>
                <w:sz w:val="20"/>
                <w:szCs w:val="20"/>
              </w:rPr>
              <w:t xml:space="preserve">азмещение малоэтажных многоквартирных домов (многоквартирные дома высотой до 4 этажей, включая 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</w:rPr>
              <w:t>мансардный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);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400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м.; 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красных линий улиц – 5 м;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855A9B" w:rsidRPr="00E30D28" w:rsidRDefault="00855A9B" w:rsidP="00855A9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4;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максимальная высота – 20 м</w:t>
            </w:r>
          </w:p>
          <w:p w:rsidR="00855A9B" w:rsidRPr="00E30D28" w:rsidRDefault="00855A9B" w:rsidP="00855A9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60;</w:t>
            </w:r>
          </w:p>
          <w:p w:rsidR="00855A9B" w:rsidRPr="00E30D28" w:rsidRDefault="00855A9B" w:rsidP="00855A9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Иные показатели: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минимальный процент озеленения – 25 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3.8.1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855A9B" w:rsidRPr="00E30D28" w:rsidRDefault="00855A9B" w:rsidP="00855A9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2.</w:t>
            </w:r>
          </w:p>
          <w:p w:rsidR="00855A9B" w:rsidRPr="00E30D28" w:rsidRDefault="00855A9B" w:rsidP="00855A9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 xml:space="preserve">Максимальный процент застройки в границах </w:t>
            </w:r>
            <w:r w:rsidRPr="00E30D28">
              <w:rPr>
                <w:rFonts w:eastAsia="Calibri"/>
                <w:b/>
                <w:bCs/>
                <w:sz w:val="20"/>
                <w:szCs w:val="20"/>
              </w:rPr>
              <w:lastRenderedPageBreak/>
              <w:t>земельного участка: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F9198A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855A9B" w:rsidRPr="00E30D28" w:rsidRDefault="00855A9B" w:rsidP="00F9198A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E30D28">
              <w:rPr>
                <w:b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855A9B" w:rsidRPr="00E30D28" w:rsidTr="00F9198A">
        <w:trPr>
          <w:trHeight w:val="20"/>
        </w:trPr>
        <w:tc>
          <w:tcPr>
            <w:tcW w:w="242" w:type="pct"/>
            <w:shd w:val="clear" w:color="auto" w:fill="FFFFFF"/>
          </w:tcPr>
          <w:p w:rsidR="00855A9B" w:rsidRPr="00E30D28" w:rsidRDefault="00855A9B" w:rsidP="00855A9B">
            <w:pPr>
              <w:pStyle w:val="aa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left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855A9B" w:rsidRPr="00E30D28" w:rsidRDefault="00855A9B" w:rsidP="00F9198A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291" w:type="pct"/>
            <w:shd w:val="clear" w:color="auto" w:fill="FFFFFF"/>
          </w:tcPr>
          <w:p w:rsidR="00855A9B" w:rsidRPr="00E30D28" w:rsidRDefault="00855A9B" w:rsidP="00F9198A">
            <w:pPr>
              <w:ind w:left="8"/>
              <w:jc w:val="center"/>
              <w:rPr>
                <w:sz w:val="20"/>
                <w:szCs w:val="20"/>
              </w:rPr>
            </w:pPr>
            <w:r w:rsidRPr="00E30D28">
              <w:rPr>
                <w:sz w:val="20"/>
                <w:szCs w:val="20"/>
              </w:rPr>
              <w:t>4.9</w:t>
            </w:r>
          </w:p>
        </w:tc>
        <w:tc>
          <w:tcPr>
            <w:tcW w:w="1513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5" w:history="1">
              <w:r w:rsidRPr="00E30D28">
                <w:rPr>
                  <w:rFonts w:eastAsia="Calibri"/>
                  <w:bCs/>
                  <w:sz w:val="20"/>
                  <w:szCs w:val="20"/>
                </w:rPr>
                <w:t>кодами 3.0</w:t>
              </w:r>
            </w:hyperlink>
            <w:r w:rsidRPr="00E30D28">
              <w:rPr>
                <w:rFonts w:eastAsia="Calibri"/>
                <w:bCs/>
                <w:sz w:val="20"/>
                <w:szCs w:val="20"/>
              </w:rPr>
              <w:t xml:space="preserve">, </w:t>
            </w:r>
            <w:hyperlink r:id="rId16" w:history="1">
              <w:r w:rsidRPr="00E30D28">
                <w:rPr>
                  <w:rFonts w:eastAsia="Calibri"/>
                  <w:bCs/>
                  <w:sz w:val="20"/>
                  <w:szCs w:val="20"/>
                </w:rPr>
                <w:t>4.0</w:t>
              </w:r>
            </w:hyperlink>
            <w:r w:rsidRPr="00E30D28">
              <w:rPr>
                <w:rFonts w:eastAsia="Calibri"/>
                <w:bCs/>
                <w:sz w:val="20"/>
                <w:szCs w:val="20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886" w:type="pct"/>
            <w:shd w:val="clear" w:color="auto" w:fill="FFFFFF"/>
          </w:tcPr>
          <w:p w:rsidR="00855A9B" w:rsidRPr="00E30D28" w:rsidRDefault="00855A9B" w:rsidP="00855A9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размеры земельного участка – 10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E30D28">
              <w:rPr>
                <w:rFonts w:eastAsia="Calibri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E30D28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855A9B" w:rsidRPr="00E30D28" w:rsidRDefault="00855A9B" w:rsidP="00855A9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855A9B" w:rsidRPr="00E30D28" w:rsidRDefault="00855A9B" w:rsidP="00855A9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855A9B" w:rsidRPr="00E30D28" w:rsidRDefault="00855A9B" w:rsidP="00855A9B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максимальное количество этажей – 1.</w:t>
            </w:r>
          </w:p>
          <w:p w:rsidR="00855A9B" w:rsidRPr="00E30D28" w:rsidRDefault="00855A9B" w:rsidP="00855A9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855A9B" w:rsidRPr="00E30D28" w:rsidRDefault="00855A9B" w:rsidP="00F9198A">
            <w:pPr>
              <w:autoSpaceDE w:val="0"/>
              <w:autoSpaceDN w:val="0"/>
              <w:adjustRightInd w:val="0"/>
              <w:ind w:left="427" w:right="59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E30D28">
              <w:rPr>
                <w:rFonts w:eastAsia="Calibri"/>
                <w:bCs/>
                <w:sz w:val="20"/>
                <w:szCs w:val="20"/>
              </w:rPr>
              <w:t>не подлежит установлению</w:t>
            </w:r>
          </w:p>
        </w:tc>
      </w:tr>
    </w:tbl>
    <w:p w:rsidR="00855A9B" w:rsidRPr="00E30D28" w:rsidRDefault="00855A9B" w:rsidP="00855A9B">
      <w:pPr>
        <w:tabs>
          <w:tab w:val="left" w:pos="709"/>
          <w:tab w:val="left" w:pos="851"/>
        </w:tabs>
        <w:spacing w:line="300" w:lineRule="auto"/>
        <w:jc w:val="center"/>
        <w:sectPr w:rsidR="00855A9B" w:rsidRPr="00E30D28" w:rsidSect="003C4B7B">
          <w:pgSz w:w="16838" w:h="11906" w:orient="landscape"/>
          <w:pgMar w:top="1418" w:right="1134" w:bottom="567" w:left="1134" w:header="567" w:footer="567" w:gutter="0"/>
          <w:cols w:space="708"/>
          <w:titlePg/>
          <w:docGrid w:linePitch="360"/>
        </w:sectPr>
      </w:pPr>
    </w:p>
    <w:p w:rsidR="00855A9B" w:rsidRPr="00B404B7" w:rsidRDefault="00855A9B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55A9B" w:rsidRPr="00B404B7" w:rsidSect="00B13B9F">
      <w:headerReference w:type="first" r:id="rId17"/>
      <w:footerReference w:type="first" r:id="rId18"/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FB" w:rsidRDefault="007D43FB">
      <w:pPr>
        <w:spacing w:after="0" w:line="240" w:lineRule="auto"/>
      </w:pPr>
      <w:r>
        <w:separator/>
      </w:r>
    </w:p>
  </w:endnote>
  <w:endnote w:type="continuationSeparator" w:id="0">
    <w:p w:rsidR="007D43FB" w:rsidRDefault="007D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3FB" w:rsidRDefault="007D43F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FB" w:rsidRDefault="007D43FB">
      <w:pPr>
        <w:spacing w:after="0" w:line="240" w:lineRule="auto"/>
      </w:pPr>
      <w:r>
        <w:separator/>
      </w:r>
    </w:p>
  </w:footnote>
  <w:footnote w:type="continuationSeparator" w:id="0">
    <w:p w:rsidR="007D43FB" w:rsidRDefault="007D4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736242"/>
      <w:docPartObj>
        <w:docPartGallery w:val="Page Numbers (Top of Page)"/>
        <w:docPartUnique/>
      </w:docPartObj>
    </w:sdtPr>
    <w:sdtEndPr/>
    <w:sdtContent>
      <w:p w:rsidR="007D43FB" w:rsidRPr="00D0306A" w:rsidRDefault="007D43FB" w:rsidP="007D4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A9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5E677A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837612C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A4B1E1A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>
    <w:nsid w:val="1B0E293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6">
    <w:nsid w:val="1EE2025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21A91AAE"/>
    <w:multiLevelType w:val="hybridMultilevel"/>
    <w:tmpl w:val="C6A434B4"/>
    <w:lvl w:ilvl="0" w:tplc="D84EB6F8">
      <w:start w:val="1"/>
      <w:numFmt w:val="decimal"/>
      <w:lvlText w:val="2.%1"/>
      <w:lvlJc w:val="left"/>
      <w:pPr>
        <w:ind w:left="867" w:hanging="5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">
    <w:nsid w:val="231515B4"/>
    <w:multiLevelType w:val="hybridMultilevel"/>
    <w:tmpl w:val="C1D6C2AC"/>
    <w:lvl w:ilvl="0" w:tplc="C6880112">
      <w:start w:val="1"/>
      <w:numFmt w:val="decimal"/>
      <w:lvlText w:val="%1."/>
      <w:lvlJc w:val="left"/>
      <w:pPr>
        <w:ind w:left="11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02023"/>
    <w:multiLevelType w:val="hybridMultilevel"/>
    <w:tmpl w:val="03A40C60"/>
    <w:lvl w:ilvl="0" w:tplc="65029086">
      <w:start w:val="1"/>
      <w:numFmt w:val="decimal"/>
      <w:lvlText w:val="1.%1"/>
      <w:lvlJc w:val="left"/>
      <w:pPr>
        <w:ind w:left="867" w:hanging="5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>
    <w:nsid w:val="2A05456F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3A9E6FD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411F0264"/>
    <w:multiLevelType w:val="hybridMultilevel"/>
    <w:tmpl w:val="42BED81C"/>
    <w:lvl w:ilvl="0" w:tplc="AB882E9A">
      <w:start w:val="1"/>
      <w:numFmt w:val="decimal"/>
      <w:lvlText w:val="3.%1"/>
      <w:lvlJc w:val="left"/>
      <w:pPr>
        <w:ind w:left="1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7" w:hanging="360"/>
      </w:pPr>
    </w:lvl>
    <w:lvl w:ilvl="2" w:tplc="0419001B" w:tentative="1">
      <w:start w:val="1"/>
      <w:numFmt w:val="lowerRoman"/>
      <w:lvlText w:val="%3."/>
      <w:lvlJc w:val="right"/>
      <w:pPr>
        <w:ind w:left="3027" w:hanging="180"/>
      </w:pPr>
    </w:lvl>
    <w:lvl w:ilvl="3" w:tplc="0419000F" w:tentative="1">
      <w:start w:val="1"/>
      <w:numFmt w:val="decimal"/>
      <w:lvlText w:val="%4."/>
      <w:lvlJc w:val="left"/>
      <w:pPr>
        <w:ind w:left="3747" w:hanging="360"/>
      </w:pPr>
    </w:lvl>
    <w:lvl w:ilvl="4" w:tplc="04190019" w:tentative="1">
      <w:start w:val="1"/>
      <w:numFmt w:val="lowerLetter"/>
      <w:lvlText w:val="%5."/>
      <w:lvlJc w:val="left"/>
      <w:pPr>
        <w:ind w:left="4467" w:hanging="360"/>
      </w:pPr>
    </w:lvl>
    <w:lvl w:ilvl="5" w:tplc="0419001B" w:tentative="1">
      <w:start w:val="1"/>
      <w:numFmt w:val="lowerRoman"/>
      <w:lvlText w:val="%6."/>
      <w:lvlJc w:val="right"/>
      <w:pPr>
        <w:ind w:left="5187" w:hanging="180"/>
      </w:pPr>
    </w:lvl>
    <w:lvl w:ilvl="6" w:tplc="0419000F" w:tentative="1">
      <w:start w:val="1"/>
      <w:numFmt w:val="decimal"/>
      <w:lvlText w:val="%7."/>
      <w:lvlJc w:val="left"/>
      <w:pPr>
        <w:ind w:left="5907" w:hanging="360"/>
      </w:pPr>
    </w:lvl>
    <w:lvl w:ilvl="7" w:tplc="04190019" w:tentative="1">
      <w:start w:val="1"/>
      <w:numFmt w:val="lowerLetter"/>
      <w:lvlText w:val="%8."/>
      <w:lvlJc w:val="left"/>
      <w:pPr>
        <w:ind w:left="6627" w:hanging="360"/>
      </w:pPr>
    </w:lvl>
    <w:lvl w:ilvl="8" w:tplc="0419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3">
    <w:nsid w:val="42C837A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4BFD66D8"/>
    <w:multiLevelType w:val="hybridMultilevel"/>
    <w:tmpl w:val="58402252"/>
    <w:lvl w:ilvl="0" w:tplc="FBA0ACAE">
      <w:start w:val="1"/>
      <w:numFmt w:val="decimal"/>
      <w:lvlText w:val="%1."/>
      <w:lvlJc w:val="left"/>
      <w:pPr>
        <w:ind w:left="11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27ACE"/>
    <w:multiLevelType w:val="hybridMultilevel"/>
    <w:tmpl w:val="219221B8"/>
    <w:lvl w:ilvl="0" w:tplc="1972A66C">
      <w:start w:val="1"/>
      <w:numFmt w:val="decimal"/>
      <w:lvlText w:val="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56682314"/>
    <w:multiLevelType w:val="hybridMultilevel"/>
    <w:tmpl w:val="00EEE4B8"/>
    <w:lvl w:ilvl="0" w:tplc="61A8E340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5963E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60C404DC"/>
    <w:multiLevelType w:val="hybridMultilevel"/>
    <w:tmpl w:val="A4FCCF8C"/>
    <w:lvl w:ilvl="0" w:tplc="AB625050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641E1A97"/>
    <w:multiLevelType w:val="hybridMultilevel"/>
    <w:tmpl w:val="930CB204"/>
    <w:lvl w:ilvl="0" w:tplc="3A703D86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1">
    <w:nsid w:val="7DCD6661"/>
    <w:multiLevelType w:val="hybridMultilevel"/>
    <w:tmpl w:val="E840A422"/>
    <w:lvl w:ilvl="0" w:tplc="13341B9E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15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7"/>
  </w:num>
  <w:num w:numId="10">
    <w:abstractNumId w:val="12"/>
  </w:num>
  <w:num w:numId="11">
    <w:abstractNumId w:val="19"/>
  </w:num>
  <w:num w:numId="12">
    <w:abstractNumId w:val="21"/>
  </w:num>
  <w:num w:numId="13">
    <w:abstractNumId w:val="16"/>
  </w:num>
  <w:num w:numId="14">
    <w:abstractNumId w:val="3"/>
  </w:num>
  <w:num w:numId="15">
    <w:abstractNumId w:val="14"/>
  </w:num>
  <w:num w:numId="16">
    <w:abstractNumId w:val="8"/>
  </w:num>
  <w:num w:numId="17">
    <w:abstractNumId w:val="13"/>
  </w:num>
  <w:num w:numId="18">
    <w:abstractNumId w:val="10"/>
  </w:num>
  <w:num w:numId="19">
    <w:abstractNumId w:val="11"/>
  </w:num>
  <w:num w:numId="20">
    <w:abstractNumId w:val="17"/>
  </w:num>
  <w:num w:numId="21">
    <w:abstractNumId w:val="6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86327"/>
    <w:rsid w:val="001E1C44"/>
    <w:rsid w:val="00497BA7"/>
    <w:rsid w:val="006F740A"/>
    <w:rsid w:val="00747DBF"/>
    <w:rsid w:val="007D43FB"/>
    <w:rsid w:val="00855A9B"/>
    <w:rsid w:val="008654A3"/>
    <w:rsid w:val="008F3364"/>
    <w:rsid w:val="00941D05"/>
    <w:rsid w:val="009B068B"/>
    <w:rsid w:val="00A65E8D"/>
    <w:rsid w:val="00A85E46"/>
    <w:rsid w:val="00B13B9F"/>
    <w:rsid w:val="00B404B7"/>
    <w:rsid w:val="00BA0909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consultantplus://offline/ref=0AF92E37B9F921D3553214DA856B81DA6A4562AAA3AF6706A08522CC1E5E448ED2E6525140A99E5123BC6386DB739677CDD9658FCFR4e3N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A8EE5B56D3038EEB175B186E51A3E9639BEE024CC0BA87226B07DC62897176CF91A81857D546E706F0BE10408651496B206C5F8CFp7NC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65D28EA0590FEF39BFBEFB3F84DAE64FEEAA074702F8824E5A7B9A83F71DDF872146589766F9E87948FCDC15B6F5C26576A06D0C0FCC9D7x2P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8EE5B56D3038EEB175B186E51A3E9639BEE024CC0BA87226B07DC62897176CF91A81867E5164203744E0584D350797B306C7FCD077A9DCp2N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65D28EA0590FEF39BFBEFB3F84DAE64FEEAA074702F8824E5A7B9A83F71DDF872146589766F9E84918FCDC15B6F5C26576A06D0C0FCC9D7x2P4H" TargetMode="External"/><Relationship Id="rId10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4" Type="http://schemas.openxmlformats.org/officeDocument/2006/relationships/hyperlink" Target="consultantplus://offline/ref=0AF92E37B9F921D3553214DA856B81DA6A4562AAA3AF6706A08522CC1E5E448ED2E6525140AE9E5123BC6386DB739677CDD9658FCFR4e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11</Pages>
  <Words>3215</Words>
  <Characters>18327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14</cp:revision>
  <cp:lastPrinted>2025-05-07T08:41:00Z</cp:lastPrinted>
  <dcterms:created xsi:type="dcterms:W3CDTF">2020-08-31T11:38:00Z</dcterms:created>
  <dcterms:modified xsi:type="dcterms:W3CDTF">2025-05-07T08:42:00Z</dcterms:modified>
</cp:coreProperties>
</file>